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State Affairs; March</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maintenance, and use of certain misdemeanor conviction information for purposes of the databases used in a federal firearm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411.052(a)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misdemeanor" means a misdemeanor crime of domestic violence under 18 U.S.C. Section 921.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w:t>
      </w:r>
      <w:r>
        <w:t xml:space="preserve">[</w:t>
      </w:r>
      <w:r>
        <w:rPr>
          <w:strike/>
        </w:rPr>
        <w:t xml:space="preserve">, "federal</w:t>
      </w:r>
      <w:r>
        <w:t xml:space="preserve">] prohibited person information" means information that identifies an individual 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person determined to have mental retardation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w:t>
      </w:r>
      <w:r>
        <w:rPr>
          <w:strike/>
        </w:rPr>
        <w:t xml:space="preserve">or</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person determined to be incompetent to stand trial under Chapter 46B, Code of Criminal Procedure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convicted of a family violence misdemeanor</w:t>
      </w:r>
      <w:r>
        <w:t xml:space="preserve">.</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574.088, Health and Safety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that the person is no longer ineligible to possess a firearm based on the commission of a family violence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411.0521(a),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the 30th day after the date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mental retardation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enters a judgment of conviction with respect to a family violence misdemeanor as defined by Section 411.052 that is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judgment entered on or after the effective date of this Act. </w:t>
      </w:r>
      <w:r>
        <w:t xml:space="preserve"> </w:t>
      </w:r>
      <w:r>
        <w:t xml:space="preserve">A judgment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