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667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State Affairs;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667</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w:t>
      </w:r>
      <w:r xml:space="preserve">
        <w:t> </w:t>
      </w:r>
      <w:r xml:space="preserve">
        <w:t> </w:t>
      </w:r>
      <w:r>
        <w:t xml:space="preserve">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w:t>
      </w:r>
      <w:r>
        <w:rPr>
          <w:u w:val="single"/>
        </w:rPr>
        <w:t xml:space="preserve"> </w:t>
      </w:r>
      <w:r>
        <w:rPr>
          <w:u w:val="single"/>
        </w:rPr>
        <w:t xml:space="preserve"> </w:t>
      </w:r>
      <w:r>
        <w:rPr>
          <w:u w:val="single"/>
        </w:rPr>
        <w:t xml:space="preserve">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w:t>
      </w:r>
      <w:r xml:space="preserve">
        <w:t> </w:t>
      </w:r>
      <w:r xml:space="preserve">
        <w:t> </w:t>
      </w:r>
      <w:r>
        <w:t xml:space="preserve">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obtain:</w:t>
      </w:r>
    </w:p>
    <w:p w:rsidR="003F3435" w:rsidRDefault="0032493E">
      <w:pPr>
        <w:spacing w:line="480" w:lineRule="auto"/>
        <w:ind w:firstLine="1440"/>
        <w:jc w:val="both"/>
      </w:pPr>
      <w:r>
        <w:t xml:space="preserve">(1)</w:t>
      </w:r>
      <w:r xml:space="preserve">
        <w:t> </w:t>
      </w:r>
      <w:r xml:space="preserve">
        <w:t> </w:t>
      </w:r>
      <w:r>
        <w:t xml:space="preserve">fingerprint-based criminal history record information of </w:t>
      </w:r>
      <w:r>
        <w:rPr>
          <w:u w:val="single"/>
        </w:rPr>
        <w:t xml:space="preserve">a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exceed $50,000</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not a resident of this state</w:t>
      </w:r>
      <w:r>
        <w:t xml:space="preserve">; or</w:t>
      </w:r>
    </w:p>
    <w:p w:rsidR="003F3435" w:rsidRDefault="0032493E">
      <w:pPr>
        <w:spacing w:line="480" w:lineRule="auto"/>
        <w:ind w:firstLine="1440"/>
        <w:jc w:val="both"/>
      </w:pPr>
      <w:r>
        <w:t xml:space="preserve">(2)</w:t>
      </w:r>
      <w:r xml:space="preserve">
        <w:t> </w:t>
      </w:r>
      <w:r xml:space="preserve">
        <w:t> </w:t>
      </w:r>
      <w:r>
        <w:t xml:space="preserve">name-based criminal history record information of </w:t>
      </w:r>
      <w:r>
        <w:rPr>
          <w:u w:val="single"/>
        </w:rPr>
        <w:t xml:space="preserve">a proposed guardian, including any criminal history record information under the current name and all former names of the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are $50,000 or less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a resident of this state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1155.054(d) and 1155.151(a), Estates Code, and Section 155.205(b), Government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