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86R3452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telemedicine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 Government Code,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In developing the system, the executive commissioner by rule shall:</w:t>
      </w:r>
    </w:p>
    <w:p w:rsidR="003F3435" w:rsidRDefault="0032493E">
      <w:pPr>
        <w:spacing w:line="480" w:lineRule="auto"/>
        <w:ind w:firstLine="1440"/>
        <w:jc w:val="both"/>
      </w:pPr>
      <w:r>
        <w:t xml:space="preserve">(1)</w:t>
      </w:r>
      <w:r xml:space="preserve">
        <w:t> </w:t>
      </w:r>
      <w:r xml:space="preserve">
        <w:t> </w:t>
      </w:r>
      <w:r>
        <w:t xml:space="preserve">review programs and pilot projects in other states to determine the most effective method for reimbursement;</w:t>
      </w:r>
    </w:p>
    <w:p w:rsidR="003F3435" w:rsidRDefault="0032493E">
      <w:pPr>
        <w:spacing w:line="480" w:lineRule="auto"/>
        <w:ind w:firstLine="1440"/>
        <w:jc w:val="both"/>
      </w:pPr>
      <w:r>
        <w:t xml:space="preserve">(2)</w:t>
      </w:r>
      <w:r xml:space="preserve">
        <w:t> </w:t>
      </w:r>
      <w:r xml:space="preserve">
        <w:t> </w:t>
      </w:r>
      <w:r>
        <w:t xml:space="preserve">establish billing codes and a fee schedule for services;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consult with the Department of State Health Services to establish procedures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identify clinical evidence supporting delivery of health care services using a telecommunications system;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annually review health care services, considering new clinical findings, to determine whether reimbursement for particular services should be denied or authorized;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establish a separate provider identifier for telemedicine medical services providers, telehealth services providers, and home telemonitoring services providers; and</w:t>
      </w:r>
    </w:p>
    <w:p w:rsidR="003F3435" w:rsidRDefault="0032493E">
      <w:pPr>
        <w:spacing w:line="480" w:lineRule="auto"/>
        <w:ind w:firstLine="1440"/>
        <w:jc w:val="both"/>
      </w:pPr>
      <w:r>
        <w:rPr>
          <w:u w:val="single"/>
        </w:rPr>
        <w:t xml:space="preserve">(4)</w:t>
      </w:r>
      <w:r>
        <w:t xml:space="preserve"> [</w:t>
      </w:r>
      <w:r>
        <w:rPr>
          <w:strike/>
        </w:rPr>
        <w:t xml:space="preserve">(5)</w:t>
      </w:r>
      <w:r>
        <w:t xml:space="preserve">]</w:t>
      </w:r>
      <w:r xml:space="preserve">
        <w:t> </w:t>
      </w:r>
      <w:r xml:space="preserve">
        <w:t> </w:t>
      </w:r>
      <w:r>
        <w:t xml:space="preserve">establish a separate modifier for telemedicine medical services, telehealth services, and home telemonitoring services eligible for reimbursement.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a managed care organization that contracts with the commission under Chapter 533 to provide health care services to Medicaid recipients does not deny reimbursement for a covered health care service or procedure delivered by a health care provider with whom the managed care organization contracts to a recipient as a telemedicine medical service or a telehealth service solely because the covered service or procedure is not provided through an in-person consultation.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531.0217(c-4), Government Code, is amended to read as follows:</w:t>
      </w:r>
    </w:p>
    <w:p w:rsidR="003F3435" w:rsidRDefault="0032493E">
      <w:pPr>
        <w:spacing w:line="480" w:lineRule="auto"/>
        <w:ind w:firstLine="720"/>
        <w:jc w:val="both"/>
      </w:pPr>
      <w:r>
        <w:t xml:space="preserve">(c-4)</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health care provider under Medicaid;</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health professional is present with the patient during the treatment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531.0216(e);</w:t>
      </w:r>
    </w:p>
    <w:p w:rsidR="003F3435" w:rsidRDefault="0032493E">
      <w:pPr>
        <w:spacing w:line="480" w:lineRule="auto"/>
        <w:ind w:firstLine="1440"/>
        <w:jc w:val="both"/>
      </w:pPr>
      <w:r>
        <w:t xml:space="preserve">(2)</w:t>
      </w:r>
      <w:r xml:space="preserve">
        <w:t> </w:t>
      </w:r>
      <w:r xml:space="preserve">
        <w:t> </w:t>
      </w:r>
      <w:r>
        <w:t xml:space="preserve">Section 531.02161;</w:t>
      </w:r>
    </w:p>
    <w:p w:rsidR="003F3435" w:rsidRDefault="0032493E">
      <w:pPr>
        <w:spacing w:line="480" w:lineRule="auto"/>
        <w:ind w:firstLine="1440"/>
        <w:jc w:val="both"/>
      </w:pPr>
      <w:r>
        <w:t xml:space="preserve">(3)</w:t>
      </w:r>
      <w:r xml:space="preserve">
        <w:t> </w:t>
      </w:r>
      <w:r xml:space="preserve">
        <w:t> </w:t>
      </w:r>
      <w:r>
        <w:t xml:space="preserve">Sections 531.0217(c-2) and (c-3); and</w:t>
      </w:r>
    </w:p>
    <w:p w:rsidR="003F3435" w:rsidRDefault="0032493E">
      <w:pPr>
        <w:spacing w:line="480" w:lineRule="auto"/>
        <w:ind w:firstLine="1440"/>
        <w:jc w:val="both"/>
      </w:pPr>
      <w:r>
        <w:t xml:space="preserve">(4)</w:t>
      </w:r>
      <w:r xml:space="preserve">
        <w:t> </w:t>
      </w:r>
      <w:r xml:space="preserve">
        <w:t> </w:t>
      </w:r>
      <w:r>
        <w:t xml:space="preserve">Section 531.02173.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