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Campbell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674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February</w:t>
      </w:r>
      <w:r xml:space="preserve">
        <w:t> </w:t>
      </w:r>
      <w:r>
        <w:t xml:space="preserve">6,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1,</w:t>
      </w:r>
      <w:r xml:space="preserve">
        <w:t> </w:t>
      </w:r>
      <w:r>
        <w:t xml:space="preserve">2019, read first time and referred to Committee on Intergovernmental Relations;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6, Nays 1; March</w:t>
      </w:r>
      <w:r xml:space="preserve">
        <w:t> </w:t>
      </w:r>
      <w:r>
        <w:t xml:space="preserve">27,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authorizing an exemption for open-enrollment charter schools from certain municipal drainage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552.053, Local Government Code, is amended by amending Subsection (b) and adding Subsections (b-1) and (b-2)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following may be exempt: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municipality; </w:t>
      </w:r>
      <w:r>
        <w:rPr>
          <w:u w:val="single"/>
        </w:rP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</w:t>
      </w:r>
      <w:r>
        <w:t xml:space="preserve">] school</w:t>
      </w:r>
      <w:r>
        <w:t xml:space="preserve"> </w:t>
      </w:r>
      <w:r>
        <w:rPr>
          <w:u w:val="single"/>
        </w:rPr>
        <w:t xml:space="preserve">districts and open-enrollment charter schools</w:t>
      </w:r>
      <w:r>
        <w:t xml:space="preserve"> </w:t>
      </w:r>
      <w:r>
        <w:t xml:space="preserve">[</w:t>
      </w:r>
      <w:r>
        <w:rPr>
          <w:strike/>
        </w:rPr>
        <w:t xml:space="preserve">district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an exemption granted under Subsection (b)(4), the exemption must be granted to both school districts and open-enrollment charter schools.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this section, an "open-enrollment charter school"</w:t>
      </w:r>
      <w:r>
        <w:rPr>
          <w:u w:val="single"/>
        </w:rPr>
        <w:t xml:space="preserve"> </w:t>
      </w:r>
      <w:r>
        <w:rPr>
          <w:u w:val="single"/>
        </w:rPr>
        <w:t xml:space="preserve">means a school granted a charter under Subchapter D or E, Chapter 12, Education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An exemption granted to a school district under Section 552.053(b)(4), Local Government Code, as that section existed before the effective date of this Act, automatically extends to all open-enrollment charter schools located in the municipality after the effective date of this Act unless the municipality repeals the exemption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674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