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Campbell, Hinojosa</w:t>
      </w:r>
      <w:r xml:space="preserve">
        <w:tab wTab="150" tlc="none" cTlc="0"/>
      </w:r>
      <w:r>
        <w:t xml:space="preserve">S.B.</w:t>
      </w:r>
      <w:r xml:space="preserve">
        <w:t> </w:t>
      </w:r>
      <w:r>
        <w:t xml:space="preserve">No.</w:t>
      </w:r>
      <w:r xml:space="preserve">
        <w:t> </w:t>
      </w:r>
      <w:r>
        <w:t xml:space="preserve">676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6,</w:t>
      </w:r>
      <w:r xml:space="preserve">
        <w:t> </w:t>
      </w:r>
      <w:r>
        <w:t xml:space="preserve">2019; March</w:t>
      </w:r>
      <w:r xml:space="preserve">
        <w:t> </w:t>
      </w:r>
      <w:r>
        <w:t xml:space="preserve">1,</w:t>
      </w:r>
      <w:r xml:space="preserve">
        <w:t> </w:t>
      </w:r>
      <w:r>
        <w:t xml:space="preserve">2019, read first time and referred to Committee on Education; April</w:t>
      </w:r>
      <w:r xml:space="preserve">
        <w:t> </w:t>
      </w:r>
      <w:r>
        <w:t xml:space="preserve">8,</w:t>
      </w:r>
      <w:r xml:space="preserve">
        <w:t> </w:t>
      </w:r>
      <w:r>
        <w:t xml:space="preserve">2019, reported favorably by the following vote:</w:t>
      </w:r>
      <w:r>
        <w:t xml:space="preserve"> </w:t>
      </w:r>
      <w:r>
        <w:t xml:space="preserve"> </w:t>
      </w:r>
      <w:r>
        <w:t xml:space="preserve">Yeas 10,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establishing residency for purposes of admission into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25.001, Education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whose parent or guardian is an active-duty member of the armed forces of the United States, including the state military forces or a reserve component of the armed forces, may establish residency for purposes of Subsection (b) by providing to the school district a copy of a military order requiring the parent's or guardian's transfer to a military installation in or adjacent to the district's attendance zone.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who establishes residency as provided by Subsection (c-1) shall provide to the school district proof of residence in the district's attendance zone not later than the 10th day after the arrival date specified in the order described by that subsection. </w:t>
      </w:r>
      <w:r>
        <w:rPr>
          <w:u w:val="single"/>
        </w:rPr>
        <w:t xml:space="preserve"> </w:t>
      </w:r>
      <w:r>
        <w:rPr>
          <w:u w:val="single"/>
        </w:rPr>
        <w:t xml:space="preserve">For purposes of this subsection, "residence" includes residence in a military temporary lodging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establishment of residency under Section 25.001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