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pharmacists and pharmacies.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w:t xml:space="preserve">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565, Occupations Code, is amended by adding Section 565.0591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565.0591.</w:t>
      </w:r>
      <w:r>
        <w:rPr>
          <w:u w:val="single"/>
        </w:rPr>
        <w:t xml:space="preserve"> </w:t>
      </w:r>
      <w:r>
        <w:rPr>
          <w:u w:val="single"/>
        </w:rPr>
        <w:t xml:space="preserve"> </w:t>
      </w:r>
      <w:r>
        <w:rPr>
          <w:u w:val="single"/>
        </w:rPr>
        <w:t xml:space="preserve">REVOCATION OF PHARMACY LICENSE FOR FAILURE TO OPERATE.  (a)  On discovery by the board that a pharmacy licensed under Chapter 560 has ceased to operate for a period of 30 days or longer, the board shall notify the pharmacy that the license will be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statement that the pharmacy license is being revoked for violation of Section 565.002(a)(7);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license holder of the license holder's right to a hearing to contest the revocation.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20th day after the date the license holder receives the notice of revocation under this section, the license holder may submit a written request for a hearing to contest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 holder does not request a hearing within the period prescribed by Subsection (c),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within the period prescribed by Subsection (c), a panel of three board members appointed by the president of the board shall conduct the hearing. At the hearing the panel shall determine whether the license holder has violated Section 565.002(a)(7).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determines that the license holder committed the violation, the board shall promptly: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a determination under Subsection (e).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683 passed the Senate on March</w:t>
      </w:r>
      <w:r xml:space="preserve">
        <w:t> </w:t>
      </w:r>
      <w:r>
        <w:t xml:space="preserve">26,</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683 passed the House, with amendment, on May</w:t>
      </w:r>
      <w:r xml:space="preserve">
        <w:t> </w:t>
      </w:r>
      <w:r>
        <w:t xml:space="preserve">15,</w:t>
      </w:r>
      <w:r xml:space="preserve">
        <w:t> </w:t>
      </w:r>
      <w:r>
        <w:t xml:space="preserve">2019, by the following vote:  Yeas</w:t>
      </w:r>
      <w:r xml:space="preserve">
        <w:t> </w:t>
      </w:r>
      <w:r>
        <w:t xml:space="preserve">141,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