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683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6,</w:t>
      </w:r>
      <w:r xml:space="preserve">
        <w:t> </w:t>
      </w:r>
      <w:r>
        <w:t xml:space="preserve">2019; March</w:t>
      </w:r>
      <w:r xml:space="preserve">
        <w:t> </w:t>
      </w:r>
      <w:r>
        <w:t xml:space="preserve">1,</w:t>
      </w:r>
      <w:r xml:space="preserve">
        <w:t> </w:t>
      </w:r>
      <w:r>
        <w:t xml:space="preserve">2019, read first time and referred to Committee on Health &amp; Human Services; March</w:t>
      </w:r>
      <w:r xml:space="preserve">
        <w:t> </w:t>
      </w:r>
      <w:r>
        <w:t xml:space="preserve">21,</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March</w:t>
      </w:r>
      <w:r xml:space="preserve">
        <w:t> </w:t>
      </w:r>
      <w:r>
        <w:t xml:space="preserve">21,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licensing and regulation of pharmacists and pharmacies.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481.075(i), Health and Safety Code, is amended to read as follows:</w:t>
      </w:r>
    </w:p>
    <w:p w:rsidR="003F3435" w:rsidRDefault="0032493E">
      <w:pPr>
        <w:spacing w:line="480" w:lineRule="auto"/>
        <w:ind w:firstLine="720"/>
        <w:jc w:val="both"/>
      </w:pPr>
      <w:r>
        <w:t xml:space="preserve">(i)</w:t>
      </w:r>
      <w:r xml:space="preserve">
        <w:t> </w:t>
      </w:r>
      <w:r xml:space="preserve">
        <w:t> </w:t>
      </w:r>
      <w:r>
        <w:t xml:space="preserve">Each dispensing pharmacist shall:</w:t>
      </w:r>
    </w:p>
    <w:p w:rsidR="003F3435" w:rsidRDefault="0032493E">
      <w:pPr>
        <w:spacing w:line="480" w:lineRule="auto"/>
        <w:ind w:firstLine="1440"/>
        <w:jc w:val="both"/>
      </w:pPr>
      <w:r>
        <w:t xml:space="preserve">(1)</w:t>
      </w:r>
      <w:r xml:space="preserve">
        <w:t> </w:t>
      </w:r>
      <w:r xml:space="preserve">
        <w:t> </w:t>
      </w:r>
      <w:r>
        <w:t xml:space="preserve">fill in on the official prescription form or note in the electronic prescription record each item of information given orally to the dispensing pharmacy under Subsection (h) and the date the prescription is filled, and:</w:t>
      </w:r>
    </w:p>
    <w:p w:rsidR="003F3435" w:rsidRDefault="0032493E">
      <w:pPr>
        <w:spacing w:line="480" w:lineRule="auto"/>
        <w:ind w:firstLine="2160"/>
        <w:jc w:val="both"/>
      </w:pPr>
      <w:r>
        <w:t xml:space="preserve">(A)</w:t>
      </w:r>
      <w:r xml:space="preserve">
        <w:t> </w:t>
      </w:r>
      <w:r xml:space="preserve">
        <w:t> </w:t>
      </w:r>
      <w:r>
        <w:t xml:space="preserve">for a written prescription, fill in the dispensing pharmacist's signature; or</w:t>
      </w:r>
    </w:p>
    <w:p w:rsidR="003F3435" w:rsidRDefault="0032493E">
      <w:pPr>
        <w:spacing w:line="480" w:lineRule="auto"/>
        <w:ind w:firstLine="2160"/>
        <w:jc w:val="both"/>
      </w:pPr>
      <w:r>
        <w:t xml:space="preserve">(B)</w:t>
      </w:r>
      <w:r xml:space="preserve">
        <w:t> </w:t>
      </w:r>
      <w:r xml:space="preserve">
        <w:t> </w:t>
      </w:r>
      <w:r>
        <w:t xml:space="preserve">for an electronic prescription, appropriately record the identity of the dispensing pharmacist in the electronic prescription record;</w:t>
      </w:r>
    </w:p>
    <w:p w:rsidR="003F3435" w:rsidRDefault="0032493E">
      <w:pPr>
        <w:spacing w:line="480" w:lineRule="auto"/>
        <w:ind w:firstLine="1440"/>
        <w:jc w:val="both"/>
      </w:pPr>
      <w:r>
        <w:t xml:space="preserve">(2)</w:t>
      </w:r>
      <w:r xml:space="preserve">
        <w:t> </w:t>
      </w:r>
      <w:r xml:space="preserve">
        <w:t> </w:t>
      </w:r>
      <w:r>
        <w:t xml:space="preserve">retain with the records of the pharmacy for at least two years:</w:t>
      </w:r>
    </w:p>
    <w:p w:rsidR="003F3435" w:rsidRDefault="0032493E">
      <w:pPr>
        <w:spacing w:line="480" w:lineRule="auto"/>
        <w:ind w:firstLine="2160"/>
        <w:jc w:val="both"/>
      </w:pPr>
      <w:r>
        <w:t xml:space="preserve">(A)</w:t>
      </w:r>
      <w:r xml:space="preserve">
        <w:t> </w:t>
      </w:r>
      <w:r xml:space="preserve">
        <w:t> </w:t>
      </w:r>
      <w:r>
        <w:t xml:space="preserve">the official prescription form or the electronic prescription record, as applicable; and</w:t>
      </w:r>
    </w:p>
    <w:p w:rsidR="003F3435" w:rsidRDefault="0032493E">
      <w:pPr>
        <w:spacing w:line="480" w:lineRule="auto"/>
        <w:ind w:firstLine="2160"/>
        <w:jc w:val="both"/>
      </w:pPr>
      <w:r>
        <w:t xml:space="preserve">(B)</w:t>
      </w:r>
      <w:r xml:space="preserve">
        <w:t> </w:t>
      </w:r>
      <w:r xml:space="preserve">
        <w:t> </w:t>
      </w:r>
      <w:r>
        <w:t xml:space="preserve">the name or other patient identification required by Section 481.074(m) or (n);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send all required information, including any information required to complete an official prescription form or electronic prescription record, to the board by electronic transfer or another form approved by the board not later than the next business day after the date the prescription is completely filled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pharmacy does not dispense any controlled substance prescriptions during a period of seven consecutive days, send a report to the board indicating that the pharmacy did not dispense any controlled substance prescriptions during that period, unless the pharmacy has obtained a waiver or permission to delay reporting to the board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481.076(a) and (k),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board may not permit any person to have access to information submitted to the board under Section 481.074(q) or 481.075 except:</w:t>
      </w:r>
    </w:p>
    <w:p w:rsidR="003F3435" w:rsidRDefault="0032493E">
      <w:pPr>
        <w:spacing w:line="480" w:lineRule="auto"/>
        <w:ind w:firstLine="1440"/>
        <w:jc w:val="both"/>
      </w:pPr>
      <w:r>
        <w:t xml:space="preserve">(1)</w:t>
      </w:r>
      <w:r xml:space="preserve">
        <w:t> </w:t>
      </w:r>
      <w:r xml:space="preserve">
        <w:t> </w:t>
      </w:r>
      <w:r>
        <w:t xml:space="preserve">the board, the Texas Medical Board, the Texas </w:t>
      </w:r>
      <w:r>
        <w:rPr>
          <w:u w:val="single"/>
        </w:rPr>
        <w:t xml:space="preserve">Department of Licensing and Regulation, with respect to the regulation of podiatrists</w:t>
      </w:r>
      <w:r>
        <w:t xml:space="preserve"> [</w:t>
      </w:r>
      <w:r>
        <w:rPr>
          <w:strike/>
        </w:rPr>
        <w:t xml:space="preserve">State Board of Podiatric Medical Examiners</w:t>
      </w:r>
      <w:r>
        <w:t xml:space="preserve">], the State Board of Dental Examiners, the State Board of Veterinary Medical Examiners, the Texas Board of Nursing, or the Texas Optometry Board for the purpose of:</w:t>
      </w:r>
    </w:p>
    <w:p w:rsidR="003F3435" w:rsidRDefault="0032493E">
      <w:pPr>
        <w:spacing w:line="480" w:lineRule="auto"/>
        <w:ind w:firstLine="2160"/>
        <w:jc w:val="both"/>
      </w:pPr>
      <w:r>
        <w:t xml:space="preserve">(A)</w:t>
      </w:r>
      <w:r xml:space="preserve">
        <w:t> </w:t>
      </w:r>
      <w:r xml:space="preserve">
        <w:t> </w:t>
      </w:r>
      <w:r>
        <w:t xml:space="preserve">investigating a specific license holder; or</w:t>
      </w:r>
    </w:p>
    <w:p w:rsidR="003F3435" w:rsidRDefault="0032493E">
      <w:pPr>
        <w:spacing w:line="480" w:lineRule="auto"/>
        <w:ind w:firstLine="2160"/>
        <w:jc w:val="both"/>
      </w:pPr>
      <w:r>
        <w:t xml:space="preserve">(B)</w:t>
      </w:r>
      <w:r xml:space="preserve">
        <w:t> </w:t>
      </w:r>
      <w:r xml:space="preserve">
        <w:t> </w:t>
      </w:r>
      <w:r>
        <w:t xml:space="preserve">monitoring for potentially harmful prescribing or dispensing patterns or practices under Section 481.0762;</w:t>
      </w:r>
    </w:p>
    <w:p w:rsidR="003F3435" w:rsidRDefault="0032493E">
      <w:pPr>
        <w:spacing w:line="480" w:lineRule="auto"/>
        <w:ind w:firstLine="1440"/>
        <w:jc w:val="both"/>
      </w:pPr>
      <w:r>
        <w:t xml:space="preserve">(2)</w:t>
      </w:r>
      <w:r xml:space="preserve">
        <w:t> </w:t>
      </w:r>
      <w:r xml:space="preserve">
        <w:t> </w:t>
      </w:r>
      <w:r>
        <w:t xml:space="preserve">an authorized officer or member of the department or authorized employee of the board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(3)</w:t>
      </w:r>
      <w:r xml:space="preserve">
        <w:t> </w:t>
      </w:r>
      <w:r xml:space="preserve">
        <w:t> </w:t>
      </w:r>
      <w:r>
        <w:t xml:space="preserve">the department on behalf of a law enforcement or prosecutorial official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(4)</w:t>
      </w:r>
      <w:r xml:space="preserve">
        <w:t> </w:t>
      </w:r>
      <w:r xml:space="preserve">
        <w:t> </w:t>
      </w:r>
      <w:r>
        <w:t xml:space="preserve">a medical examiner conducting an investigation;</w:t>
      </w:r>
    </w:p>
    <w:p w:rsidR="003F3435" w:rsidRDefault="0032493E">
      <w:pPr>
        <w:spacing w:line="480" w:lineRule="auto"/>
        <w:ind w:firstLine="1440"/>
        <w:jc w:val="both"/>
      </w:pPr>
      <w:r>
        <w:t xml:space="preserve">(5)</w:t>
      </w:r>
      <w:r xml:space="preserve">
        <w:t> </w:t>
      </w:r>
      <w:r xml:space="preserve">
        <w:t> </w:t>
      </w:r>
      <w:r>
        <w:t xml:space="preserve">provided that accessing the information is authorized under the Health Insurance Portability and Accountability Act of 1996 (Pub. L. No.</w:t>
      </w:r>
      <w:r xml:space="preserve">
        <w:t> </w:t>
      </w:r>
      <w:r>
        <w:t xml:space="preserve">104-191) and regulations adopted under that Act:</w:t>
      </w:r>
    </w:p>
    <w:p w:rsidR="003F3435" w:rsidRDefault="0032493E">
      <w:pPr>
        <w:spacing w:line="480" w:lineRule="auto"/>
        <w:ind w:firstLine="2160"/>
        <w:jc w:val="both"/>
      </w:pPr>
      <w:r>
        <w:t xml:space="preserve">(A)</w:t>
      </w:r>
      <w:r xml:space="preserve">
        <w:t> </w:t>
      </w:r>
      <w:r xml:space="preserve">
        <w:t> </w:t>
      </w:r>
      <w:r>
        <w:t xml:space="preserve">a pharmacist or a </w:t>
      </w:r>
      <w:r>
        <w:rPr>
          <w:u w:val="single"/>
        </w:rPr>
        <w:t xml:space="preserve">pharmacist-intern,</w:t>
      </w:r>
      <w:r>
        <w:t xml:space="preserve"> pharmacy technician</w:t>
      </w:r>
      <w:r>
        <w:rPr>
          <w:u w:val="single"/>
        </w:rPr>
        <w:t xml:space="preserve">, or pharmacy technician trainee</w:t>
      </w:r>
      <w:r>
        <w:t xml:space="preserve">, as defined by Section 551.003, Occupations Code, acting at the direction of a pharmacist</w:t>
      </w:r>
      <w:r>
        <w:rPr>
          <w:u w:val="single"/>
        </w:rPr>
        <w:t xml:space="preserve">, who is inquiring about a recent Schedule II, III, IV, or V prescription history of a particular patient of the pharmacist</w:t>
      </w:r>
      <w:r>
        <w:t xml:space="preserve">; or</w:t>
      </w:r>
    </w:p>
    <w:p w:rsidR="003F3435" w:rsidRDefault="0032493E">
      <w:pPr>
        <w:spacing w:line="480" w:lineRule="auto"/>
        <w:ind w:firstLine="2160"/>
        <w:jc w:val="both"/>
      </w:pPr>
      <w:r>
        <w:t xml:space="preserve">(B)</w:t>
      </w:r>
      <w:r xml:space="preserve">
        <w:t> </w:t>
      </w:r>
      <w:r xml:space="preserve">
        <w:t> </w:t>
      </w:r>
      <w:r>
        <w:t xml:space="preserve">a practitioner who:</w:t>
      </w:r>
    </w:p>
    <w:p w:rsidR="003F3435" w:rsidRDefault="0032493E">
      <w:pPr>
        <w:spacing w:line="480" w:lineRule="auto"/>
        <w:ind w:firstLine="2880"/>
        <w:jc w:val="both"/>
      </w:pPr>
      <w:r>
        <w:t xml:space="preserve">(i)</w:t>
      </w:r>
      <w:r xml:space="preserve">
        <w:t> </w:t>
      </w:r>
      <w:r xml:space="preserve">
        <w:t> </w:t>
      </w:r>
      <w:r>
        <w:t xml:space="preserve">is a physician, dentist, veterinarian, podiatrist, optometrist, or advanced practice nurse or is a physician assistant described by Section 481.002(39)(D) or an employee or other agent of a practitioner acting at the direction of a practitioner; and</w:t>
      </w:r>
    </w:p>
    <w:p w:rsidR="003F3435" w:rsidRDefault="0032493E">
      <w:pPr>
        <w:spacing w:line="480" w:lineRule="auto"/>
        <w:ind w:firstLine="2880"/>
        <w:jc w:val="both"/>
      </w:pPr>
      <w:r>
        <w:t xml:space="preserve">(ii)</w:t>
      </w:r>
      <w:r xml:space="preserve">
        <w:t> </w:t>
      </w:r>
      <w:r xml:space="preserve">
        <w:t> </w:t>
      </w:r>
      <w:r>
        <w:t xml:space="preserve">is inquiring about a recent Schedule II, III, IV, or V prescription history of a particular patient of the practitioner;</w:t>
      </w:r>
    </w:p>
    <w:p w:rsidR="003F3435" w:rsidRDefault="0032493E">
      <w:pPr>
        <w:spacing w:line="480" w:lineRule="auto"/>
        <w:ind w:firstLine="1440"/>
        <w:jc w:val="both"/>
      </w:pPr>
      <w:r>
        <w:t xml:space="preserve">(6)</w:t>
      </w:r>
      <w:r xml:space="preserve">
        <w:t> </w:t>
      </w:r>
      <w:r xml:space="preserve">
        <w:t> </w:t>
      </w:r>
      <w:r>
        <w:t xml:space="preserve">a pharmacist or practitioner who is inquiring about the person's own dispensing or prescribing activity </w:t>
      </w:r>
      <w:r>
        <w:rPr>
          <w:u w:val="single"/>
        </w:rPr>
        <w:t xml:space="preserve">or a practitioner who is inquiring about the prescribing activity of an individual to whom the practitioner has delegated prescribing authority</w:t>
      </w:r>
      <w:r>
        <w:t xml:space="preserve">; or</w:t>
      </w:r>
    </w:p>
    <w:p w:rsidR="003F3435" w:rsidRDefault="0032493E">
      <w:pPr>
        <w:spacing w:line="480" w:lineRule="auto"/>
        <w:ind w:firstLine="1440"/>
        <w:jc w:val="both"/>
      </w:pPr>
      <w:r>
        <w:t xml:space="preserve">(7)</w:t>
      </w:r>
      <w:r xml:space="preserve">
        <w:t> </w:t>
      </w:r>
      <w:r xml:space="preserve">
        <w:t> </w:t>
      </w:r>
      <w:r>
        <w:t xml:space="preserve">one or more states or an association of states with which the board has an interoperability agreement, as provided by Subsection (j).</w:t>
      </w:r>
    </w:p>
    <w:p w:rsidR="003F3435" w:rsidRDefault="0032493E">
      <w:pPr>
        <w:spacing w:line="480" w:lineRule="auto"/>
        <w:ind w:firstLine="720"/>
        <w:jc w:val="both"/>
      </w:pPr>
      <w:r>
        <w:t xml:space="preserve">(k)</w:t>
      </w:r>
      <w:r xml:space="preserve">
        <w:t> </w:t>
      </w:r>
      <w:r xml:space="preserve">
        <w:t> </w:t>
      </w:r>
      <w:r>
        <w:t xml:space="preserve">A person authorized to access information under Subsection (a)(4) </w:t>
      </w:r>
      <w:r>
        <w:rPr>
          <w:u w:val="single"/>
        </w:rPr>
        <w:t xml:space="preserve">or (5)</w:t>
      </w:r>
      <w:r>
        <w:t xml:space="preserve"> who is registered with the board for electronic access to the information is entitled to directly access the information available from other states pursuant to an interoperability agreement described by Subsection (j).</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481.0766(a),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wholesale distributor shall report to the board the </w:t>
      </w:r>
      <w:r>
        <w:rPr>
          <w:u w:val="single"/>
        </w:rPr>
        <w:t xml:space="preserve">distribution of all Schedules II, III, IV, and V controlled substances</w:t>
      </w:r>
      <w:r>
        <w:t xml:space="preserve"> [</w:t>
      </w:r>
      <w:r>
        <w:rPr>
          <w:strike/>
        </w:rPr>
        <w:t xml:space="preserve">information that the distributor is required to report to the Automation of Reports and Consolidated Orders System (ARCOS) of the Federal Drug Enforcement Administration for the distribution of a controlled substance</w:t>
      </w:r>
      <w:r>
        <w:t xml:space="preserve">] by the distributor to a person in this state.  The distributor shall report the information to the board in the same format and with the same frequency as the information is reported to </w:t>
      </w:r>
      <w:r>
        <w:rPr>
          <w:u w:val="single"/>
        </w:rPr>
        <w:t xml:space="preserve">the Federal Drug Enforcement Administration</w:t>
      </w:r>
      <w:r>
        <w:t xml:space="preserve"> [</w:t>
      </w:r>
      <w:r>
        <w:rPr>
          <w:strike/>
        </w:rPr>
        <w:t xml:space="preserve">ARCOS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481.353(a),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work group shall meet </w:t>
      </w:r>
      <w:r>
        <w:rPr>
          <w:u w:val="single"/>
        </w:rPr>
        <w:t xml:space="preserve">when necessary as determined by the board</w:t>
      </w:r>
      <w:r>
        <w:t xml:space="preserve"> [</w:t>
      </w:r>
      <w:r>
        <w:rPr>
          <w:strike/>
        </w:rPr>
        <w:t xml:space="preserve">at least quarterly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560.051(f), Occupations Code, is amended to read as follows:</w:t>
      </w:r>
    </w:p>
    <w:p w:rsidR="003F3435" w:rsidRDefault="0032493E">
      <w:pPr>
        <w:spacing w:line="480" w:lineRule="auto"/>
        <w:ind w:firstLine="720"/>
        <w:jc w:val="both"/>
      </w:pPr>
      <w:r>
        <w:t xml:space="preserve">(f)</w:t>
      </w:r>
      <w:r xml:space="preserve">
        <w:t> </w:t>
      </w:r>
      <w:r xml:space="preserve">
        <w:t> </w:t>
      </w:r>
      <w:r>
        <w:t xml:space="preserve">A Class E pharmacy license or nonresident pharmacy license may be issued to a pharmacy located in another state whose primary business is to:</w:t>
      </w:r>
    </w:p>
    <w:p w:rsidR="003F3435" w:rsidRDefault="0032493E">
      <w:pPr>
        <w:spacing w:line="480" w:lineRule="auto"/>
        <w:ind w:firstLine="1440"/>
        <w:jc w:val="both"/>
      </w:pPr>
      <w:r>
        <w:rPr>
          <w:u w:val="single"/>
        </w:rPr>
        <w:t xml:space="preserve">(1)</w:t>
      </w:r>
      <w:r>
        <w:t xml:space="preserve"> </w:t>
      </w:r>
      <w:r>
        <w:t xml:space="preserve">[</w:t>
      </w:r>
      <w:r>
        <w:rPr>
          <w:strike/>
        </w:rPr>
        <w:t xml:space="preserve">(A)</w:t>
      </w:r>
      <w:r>
        <w:t xml:space="preserve">]</w:t>
      </w:r>
      <w:r xml:space="preserve">
        <w:t> </w:t>
      </w:r>
      <w:r xml:space="preserve">
        <w:t> </w:t>
      </w:r>
      <w:r>
        <w:t xml:space="preserve">dispense a prescription drug or device under a prescription drug order[</w:t>
      </w:r>
      <w:r>
        <w:rPr>
          <w:strike/>
        </w:rPr>
        <w:t xml:space="preserve">;</w:t>
      </w:r>
      <w:r>
        <w:t xml:space="preserve">]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deliver the drug or device to a patient, including a patient in this state, by United States mail, common carrier, or delivery service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process a prescription drug order for a patient, including a patient in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 another pharmaceutical service, as defined by board rule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554.016, 556.0555, 560.001(c), 560.0525, 561.003(f), 562.101(f-1), and 562.111; and</w:t>
      </w:r>
    </w:p>
    <w:p w:rsidR="003F3435" w:rsidRDefault="0032493E">
      <w:pPr>
        <w:spacing w:line="480" w:lineRule="auto"/>
        <w:ind w:firstLine="1440"/>
        <w:jc w:val="both"/>
      </w:pPr>
      <w:r>
        <w:t xml:space="preserve">(2)</w:t>
      </w:r>
      <w:r xml:space="preserve">
        <w:t> </w:t>
      </w:r>
      <w:r xml:space="preserve">
        <w:t> </w:t>
      </w:r>
      <w:r>
        <w:t xml:space="preserve">Subchapter E, Chapter 562.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