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86R7702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code enforcement officer to possess or carry an instrument used for deterring an animal bite.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46.15, Penal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provisions of Sections 46.02 and 46.03 prohibiting the possession or carrying of a club do not apply to a code enforcement officer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certificate of registration issued under Chapter 1952, Occupations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or carries an instrument used specifically for deterring an animal bite while the officer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performing official duties;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traveling to or from a place of duty.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1952.051, Occupations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education requirements adopted under Subsection (b) must include education regarding the principles and procedures for a code enforcement officer to follow when possessing or carrying an instrument used specifically for deterring an animal bite.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1952.1051,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1952.1051.</w:t>
      </w:r>
      <w:r xml:space="preserve">
        <w:t> </w:t>
      </w:r>
      <w:r xml:space="preserve">
        <w:t> </w:t>
      </w:r>
      <w:r>
        <w:t xml:space="preserve">CONTINUING EDUCATION.  The commission by rule shall prescribe continuing education requirements for code enforcement officers and code enforcement officers in training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 the number of hours of continuing education required for renewal of a certificate of registration;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an approved curriculum that includes material regarding changes in applicable law </w:t>
      </w:r>
      <w:r>
        <w:rPr>
          <w:u w:val="single"/>
        </w:rPr>
        <w:t xml:space="preserve">and the principles and procedures to follow when possessing or carrying an instrument used specifically for deterring an animal bite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provide that the approved curriculum may be taught by suitable public agencies and by private entities approved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