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86R33134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686</w:t>
      </w:r>
    </w:p>
    <w:p w:rsidR="003F3435" w:rsidRDefault="0032493E">
      <w:pPr>
        <w:ind w:firstLine="720"/>
        <w:jc w:val="both"/>
      </w:pPr>
      <w:r>
        <w:t xml:space="preserve">(Goodwin, Talarico, Beckley, Capriglione,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686:</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C.S.S.B.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w:t>
      </w:r>
      <w:r>
        <w:rPr>
          <w:strike/>
        </w:rPr>
        <w:t xml:space="preserve">a one-half elective</w:t>
      </w:r>
      <w:r>
        <w:t xml:space="preserve">] credit under Section 28.025, using materials approved by the State Board of Education. </w:t>
      </w:r>
      <w:r>
        <w:t xml:space="preserve"> </w:t>
      </w:r>
      <w:r>
        <w:rPr>
          <w:u w:val="single"/>
        </w:rPr>
        <w:t xml:space="preserve">The course may be offered as a distinct course in personal financial literacy or as an elective course or existing course that includes instruction in personal financial literacy sufficient to meet the requirements for one-half credit under Section 28.025(b-1)(4).</w:t>
      </w:r>
      <w:r>
        <w:t xml:space="preserve"> </w:t>
      </w:r>
      <w:r>
        <w:t xml:space="preserve"> </w:t>
      </w:r>
      <w:r>
        <w:t xml:space="preserve">The instruction in personal financial literacy must include instruction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completing the application for federal student aid provided by the United States Department of Education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consequences of failing to make timely student loan payments;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student loan debt on a person's finances;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in which student loans are dischargeable in bankruptcy</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w:t>
      </w:r>
      <w:r>
        <w:rPr>
          <w:u w:val="single"/>
        </w:rPr>
        <w:t xml:space="preserve">or personal financial literacy</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