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687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information obtained by a person from the comptroller that relates to a taxpayer subject to an audit by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111.0075(b), Tax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obtains information described by Subsection (a) and who is not a taxpayer to whom the information relates may not, before the </w:t>
      </w:r>
      <w:r>
        <w:rPr>
          <w:u w:val="single"/>
        </w:rPr>
        <w:t xml:space="preserve">30th</w:t>
      </w:r>
      <w:r>
        <w:t xml:space="preserve"> [</w:t>
      </w:r>
      <w:r>
        <w:rPr>
          <w:strike/>
        </w:rPr>
        <w:t xml:space="preserve">sixth</w:t>
      </w:r>
      <w:r>
        <w:t xml:space="preserve">] day after the date the comptroller made the information available to the person, use the information for the direct solicitation of business or employment for pecuniary gain.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use of information obtained by a person on or after the effective date of this Act. </w:t>
      </w:r>
      <w:r>
        <w:t xml:space="preserve"> </w:t>
      </w:r>
      <w:r>
        <w:t xml:space="preserve">The use of information obtained by a person before the effective date of this Act is governed by the law in effect on the date the information was obtained,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