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86R5509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687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information obtained by a person from the comptroller that relates to a taxpayer subject to an audit by the comptroller.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111.0075(b), Tax Code, is amended to read as follows:</w:t>
      </w:r>
    </w:p>
    <w:p w:rsidR="003F3435" w:rsidRDefault="0032493E">
      <w:pPr>
        <w:spacing w:line="480" w:lineRule="auto"/>
        <w:ind w:firstLine="720"/>
        <w:jc w:val="both"/>
      </w:pPr>
      <w:r>
        <w:t xml:space="preserve">(b)</w:t>
      </w:r>
      <w:r xml:space="preserve">
        <w:t> </w:t>
      </w:r>
      <w:r xml:space="preserve">
        <w:t> </w:t>
      </w:r>
      <w:r>
        <w:t xml:space="preserve">A person who obtains information described by Subsection (a) and who is not a taxpayer to whom the information relates may not, before the </w:t>
      </w:r>
      <w:r>
        <w:rPr>
          <w:u w:val="single"/>
        </w:rPr>
        <w:t xml:space="preserve">30th</w:t>
      </w:r>
      <w:r>
        <w:t xml:space="preserve"> [</w:t>
      </w:r>
      <w:r>
        <w:rPr>
          <w:strike/>
        </w:rPr>
        <w:t xml:space="preserve">sixth</w:t>
      </w:r>
      <w:r>
        <w:t xml:space="preserve">] day after the date the comptroller made the information available to the person, use the information for the direct solicitation of business or employment for pecuniary gain.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the use of information obtained by a person on or after the effective date of this Act. The use of information obtained by a person before the effective date of this Act is governed by the law in effect on the date the information was obtained,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