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height limitations for certain vehicles transporting seed cotton or cotton.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622.101,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622.101.</w:t>
      </w:r>
      <w:r xml:space="preserve">
        <w:t> </w:t>
      </w:r>
      <w:r xml:space="preserve">
        <w:t> </w:t>
      </w:r>
      <w:r>
        <w:rPr>
          <w:u w:val="single"/>
        </w:rPr>
        <w:t xml:space="preserve">VEHICLES</w:t>
      </w:r>
      <w:r>
        <w:t xml:space="preserve"> [</w:t>
      </w:r>
      <w:r>
        <w:rPr>
          <w:strike/>
        </w:rPr>
        <w:t xml:space="preserve">VEHICLE</w:t>
      </w:r>
      <w:r>
        <w:t xml:space="preserve">] TRANSPORTING CERTAIN AGRICULTURAL PRODUCTS OR PROCESSING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622.101, Transportation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single</w:t>
      </w:r>
      <w:r>
        <w:t xml:space="preserve"> motor vehicle that transports agricultural products under </w:t>
      </w:r>
      <w:r>
        <w:rPr>
          <w:u w:val="single"/>
        </w:rPr>
        <w:t xml:space="preserve">Subsection (a)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must be registered under Section 504.505.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truck-tractor operated in combination with a semitrailer and used to transport seed cotton or cotton may not be operated on a highway or road if the vehicle is higher than 14 feet 6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688 passed the Senate on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688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