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691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7,</w:t>
      </w:r>
      <w:r xml:space="preserve">
        <w:t> </w:t>
      </w:r>
      <w:r>
        <w:t xml:space="preserve">2019; March</w:t>
      </w:r>
      <w:r xml:space="preserve">
        <w:t> </w:t>
      </w:r>
      <w:r>
        <w:t xml:space="preserve">1,</w:t>
      </w:r>
      <w:r xml:space="preserve">
        <w:t> </w:t>
      </w:r>
      <w:r>
        <w:t xml:space="preserve">2019, read first time and referred to Committee on Criminal Justice;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5, Nays 1;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691</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suspension of a driver's license for persons convicted of certain misdemeanor drug possession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521.372(a),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Section 521.3725, a</w:t>
      </w:r>
      <w:r>
        <w:t xml:space="preserve"> [</w:t>
      </w:r>
      <w:r>
        <w:rPr>
          <w:strike/>
        </w:rPr>
        <w:t xml:space="preserve">A</w:t>
      </w:r>
      <w:r>
        <w:t xml:space="preserve">] person's driver's license is automatically suspended on final conviction of:</w:t>
      </w:r>
    </w:p>
    <w:p w:rsidR="003F3435" w:rsidRDefault="0032493E">
      <w:pPr>
        <w:spacing w:line="480" w:lineRule="auto"/>
        <w:ind w:firstLine="1440"/>
        <w:jc w:val="both"/>
      </w:pPr>
      <w:r>
        <w:t xml:space="preserve">(1)</w:t>
      </w:r>
      <w:r xml:space="preserve">
        <w:t> </w:t>
      </w:r>
      <w:r xml:space="preserve">
        <w:t> </w:t>
      </w:r>
      <w:r>
        <w:t xml:space="preserve">an offense under the Controlled Substances Act;</w:t>
      </w:r>
    </w:p>
    <w:p w:rsidR="003F3435" w:rsidRDefault="0032493E">
      <w:pPr>
        <w:spacing w:line="480" w:lineRule="auto"/>
        <w:ind w:firstLine="1440"/>
        <w:jc w:val="both"/>
      </w:pPr>
      <w:r>
        <w:t xml:space="preserve">(2)</w:t>
      </w:r>
      <w:r xml:space="preserve">
        <w:t> </w:t>
      </w:r>
      <w:r xml:space="preserve">
        <w:t> </w:t>
      </w:r>
      <w:r>
        <w:t xml:space="preserve">a drug offense; or</w:t>
      </w:r>
    </w:p>
    <w:p w:rsidR="003F3435" w:rsidRDefault="0032493E">
      <w:pPr>
        <w:spacing w:line="480" w:lineRule="auto"/>
        <w:ind w:firstLine="1440"/>
        <w:jc w:val="both"/>
      </w:pPr>
      <w:r>
        <w:t xml:space="preserve">(3)</w:t>
      </w:r>
      <w:r xml:space="preserve">
        <w:t> </w:t>
      </w:r>
      <w:r xml:space="preserve">
        <w:t> </w:t>
      </w:r>
      <w:r>
        <w:t xml:space="preserve">a felony under Chapter 481, Health and Safety Code, that is not a drug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P, Chapter 521, Transportation Code, is amended by adding Section 521.3725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521.3725.</w:t>
      </w:r>
      <w:r>
        <w:rPr>
          <w:u w:val="single"/>
        </w:rPr>
        <w:t xml:space="preserve"> </w:t>
      </w:r>
      <w:r>
        <w:rPr>
          <w:u w:val="single"/>
        </w:rPr>
        <w:t xml:space="preserve"> </w:t>
      </w:r>
      <w:r>
        <w:rPr>
          <w:u w:val="single"/>
        </w:rPr>
        <w:t xml:space="preserve">MISDEMEANOR DEFENDANTS.  (a)</w:t>
      </w:r>
      <w:r>
        <w:rPr>
          <w:u w:val="single"/>
        </w:rPr>
        <w:t xml:space="preserve"> </w:t>
      </w:r>
      <w:r>
        <w:rPr>
          <w:u w:val="single"/>
        </w:rPr>
        <w:t xml:space="preserve"> </w:t>
      </w:r>
      <w:r>
        <w:rPr>
          <w:u w:val="single"/>
        </w:rPr>
        <w:t xml:space="preserve">This section applies only to a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convicted of a misdemeanor possession offense under Section 481.1161, 481.117, 481.118, or 481.121, Health and Safety Code, other than an offense for which punishment is increased under Section 481.134 of that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driver's license is not subject to suspension for that offense  or another offense arising from the same criminal episode under a provision other than Section 521.372.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driver's license of a person described by Subsection (a) is automatically suspended as provided by Section 521.372,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suspension does not begin until the 180th day after the date of the person's final conviction;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license is no longer subject to suspension under Section 521.372 if, before the date the suspension is to begin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 receives notification from the clerk of the court in which the person was convicted that the person has successfully completed an educational program under Section 521.374 or equivalent education in a residential treatment facility authorized under that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pays any applicable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period of suspension for a person described by Subsection (a) who does not complete the educational program described by Subsection (b)(2)(A) and pay the fees described by Subsection (b)(2)(B) is 180 days, except that the license may be reinstated during that period as provided by Section 521.377(a-1).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521.374(a), Transportation Code, as amended by Chapters 851 (S.B. 1070), 1004 (H.B. 642), and 838 (S.B. 202), Acts of the 84th Legislature, Regular Session, 2015, is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whose license is suspended under Section 521.372 may:</w:t>
      </w:r>
    </w:p>
    <w:p w:rsidR="003F3435" w:rsidRDefault="0032493E">
      <w:pPr>
        <w:spacing w:line="480" w:lineRule="auto"/>
        <w:ind w:firstLine="1440"/>
        <w:jc w:val="both"/>
      </w:pPr>
      <w:r>
        <w:t xml:space="preserve">(1)</w:t>
      </w:r>
      <w:r xml:space="preserve">
        <w:t> </w:t>
      </w:r>
      <w:r xml:space="preserve">
        <w:t> </w:t>
      </w:r>
      <w:r>
        <w:t xml:space="preserve">attend an educational program, approved by the Texas Department of Licensing and Regulation [</w:t>
      </w:r>
      <w:r>
        <w:rPr>
          <w:strike/>
        </w:rPr>
        <w:t xml:space="preserve">Department of State Health Services</w:t>
      </w:r>
      <w:r>
        <w:t xml:space="preserve">] under rules adopted by the Texas Commission of Licensing and Regulation [</w:t>
      </w:r>
      <w:r>
        <w:rPr>
          <w:strike/>
        </w:rPr>
        <w:t xml:space="preserve">executive commissioner of the Health and Human Services Commission</w:t>
      </w:r>
      <w:r>
        <w:t xml:space="preserve">] and the department, that is designed to educate persons on the dangers of drug abuse; or</w:t>
      </w:r>
    </w:p>
    <w:p w:rsidR="003F3435" w:rsidRDefault="0032493E">
      <w:pPr>
        <w:spacing w:line="480" w:lineRule="auto"/>
        <w:ind w:firstLine="1440"/>
        <w:jc w:val="both"/>
      </w:pPr>
      <w:r>
        <w:t xml:space="preserve">(2)</w:t>
      </w:r>
      <w:r xml:space="preserve">
        <w:t> </w:t>
      </w:r>
      <w:r xml:space="preserve">
        <w:t> </w:t>
      </w:r>
      <w:r>
        <w:t xml:space="preserve">successfully complete education on the dangers of drug abuse approved by the Department of State Health Services as equivalent to the educational program described by Subdivision (1), while the person is a resident of a facility for the treatment of drug abuse or chemical dependency, including:</w:t>
      </w:r>
    </w:p>
    <w:p w:rsidR="003F3435" w:rsidRDefault="0032493E">
      <w:pPr>
        <w:spacing w:line="480" w:lineRule="auto"/>
        <w:ind w:firstLine="2160"/>
        <w:jc w:val="both"/>
      </w:pPr>
      <w:r>
        <w:t xml:space="preserve">(A)</w:t>
      </w:r>
      <w:r xml:space="preserve">
        <w:t> </w:t>
      </w:r>
      <w:r xml:space="preserve">
        <w:t> </w:t>
      </w:r>
      <w:r>
        <w:t xml:space="preserve">a substance abuse treatment facility or substance abuse felony punishment facility operated by the Texas Department of Criminal Justice under Section 493.009, Government Code;</w:t>
      </w:r>
    </w:p>
    <w:p w:rsidR="003F3435" w:rsidRDefault="0032493E">
      <w:pPr>
        <w:spacing w:line="480" w:lineRule="auto"/>
        <w:ind w:firstLine="2160"/>
        <w:jc w:val="both"/>
      </w:pPr>
      <w:r>
        <w:t xml:space="preserve">(B)</w:t>
      </w:r>
      <w:r xml:space="preserve">
        <w:t> </w:t>
      </w:r>
      <w:r xml:space="preserve">
        <w:t> </w:t>
      </w:r>
      <w:r>
        <w:t xml:space="preserve">a community corrections facility, as defined by Section 509.001, Government Code; or</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521.377, Transportation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(a)(2), the court shall end the period of suspension and immediately reinstate the license of a person described by Section 521.3725 on notification described by Subsection (a)(1), provided the person pays any applicable fees.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for a period of six months;</w:t>
      </w:r>
    </w:p>
    <w:p w:rsidR="003F3435" w:rsidRDefault="0032493E">
      <w:pPr>
        <w:spacing w:line="480" w:lineRule="auto"/>
        <w:ind w:firstLine="1440"/>
        <w:jc w:val="both"/>
      </w:pPr>
      <w:r>
        <w:t xml:space="preserve">(2)</w:t>
      </w:r>
      <w:r xml:space="preserve">
        <w:t> </w:t>
      </w:r>
      <w:r xml:space="preserve">
        <w:t> </w:t>
      </w:r>
      <w:r>
        <w:t xml:space="preserve">the governor of this state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modification or full or partial repeal of the law required under 23 U.S.C. Section 159.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