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timber land or restricted-use timber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23.72, Tax Code, is amended to read as follows:</w:t>
      </w:r>
    </w:p>
    <w:p w:rsidR="003F3435" w:rsidRDefault="0032493E">
      <w:pPr>
        <w:spacing w:line="480" w:lineRule="auto"/>
        <w:ind w:firstLine="720"/>
        <w:jc w:val="both"/>
      </w:pPr>
      <w:r>
        <w:t xml:space="preserve">Sec.</w:t>
      </w:r>
      <w:r xml:space="preserve">
        <w:t> </w:t>
      </w:r>
      <w:r>
        <w:t xml:space="preserve">23.72.</w:t>
      </w:r>
      <w:r xml:space="preserve">
        <w:t> </w:t>
      </w:r>
      <w:r xml:space="preserve">
        <w:t> </w:t>
      </w:r>
      <w:r>
        <w:t xml:space="preserve">QUALIFICATION FOR PRODUCTIVITY APPRAISAL.  </w:t>
      </w:r>
      <w:r>
        <w:rPr>
          <w:u w:val="single"/>
        </w:rPr>
        <w:t xml:space="preserve">(a)</w:t>
      </w:r>
      <w:r>
        <w:t xml:space="preserve"> </w:t>
      </w:r>
      <w:r>
        <w:t xml:space="preserve"> </w:t>
      </w:r>
      <w:r>
        <w:t xml:space="preserve">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w:t>
      </w:r>
      <w:r>
        <w:rPr>
          <w:strike/>
        </w:rPr>
        <w:t xml:space="preserve">of this chapter</w:t>
      </w:r>
      <w:r>
        <w:t xml:space="preserve">] for five of the preceding seven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a purpose associated with the production of timber or forest products, including use as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 Tax Code, is amended by adding Section 23.765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23.765.</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23.9802,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a purpose associated with the production of timber or forest products, including use as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23, Tax Code, is amended by adding Section 23.9808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23.9808.</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Sections 23.72 and 23.9802, Tax Code, as amended by this Act, apply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23.765 and 23.9808, Tax Code, as added by this Act, do not affect an additional tax imposed as a result of a change of use of land appraised under Subchapter E or H,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