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702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and reporting of expenditures for lobbying activities by certain political subdivisions and other public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140.012.</w:t>
      </w:r>
      <w:r>
        <w:rPr>
          <w:u w:val="single"/>
        </w:rPr>
        <w:t xml:space="preserve"> </w:t>
      </w:r>
      <w:r>
        <w:rPr>
          <w:u w:val="single"/>
        </w:rPr>
        <w:t xml:space="preserve"> </w:t>
      </w:r>
      <w:r>
        <w:rPr>
          <w:u w:val="single"/>
        </w:rPr>
        <w:t xml:space="preserve">EXPENDITURES FOR LOBBYING ACTIVITIES.  (a)</w:t>
      </w:r>
      <w:r>
        <w:rPr>
          <w:u w:val="single"/>
        </w:rPr>
        <w:t xml:space="preserve"> </w:t>
      </w:r>
      <w:r>
        <w:rPr>
          <w:u w:val="single"/>
        </w:rPr>
        <w:t xml:space="preserve"> </w:t>
      </w:r>
      <w:r>
        <w:rPr>
          <w:u w:val="single"/>
        </w:rPr>
        <w:t xml:space="preserve">This section applies only to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subdivision that imposes a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or special district that has the authority to issue bonds, including revenue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mobility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transit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regional tollway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special purpose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public institution of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community college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publicly owned utility;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river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or entity described by Subsection (a) may spend money to directly or indirectly influence or attempt to influence the outcome of any legislation pending before the legislature only if the expenditure is authorized by a majority vote of the governing body of the political subdivision or entity in an open meeting of the governing body. </w:t>
      </w:r>
      <w:r>
        <w:rPr>
          <w:u w:val="single"/>
        </w:rPr>
        <w:t xml:space="preserve"> </w:t>
      </w:r>
      <w:r>
        <w:rPr>
          <w:u w:val="single"/>
        </w:rPr>
        <w:t xml:space="preserve">The expenditure must be voted on by the governing body as a stand-alone item on the agenda at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or entity described by Subsection (a) shall report to the Texas Ethics Commission and publish on the political subdivision's or entity's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authorized under Subsection (b) for the purpose of directly or indirectly influencing or attempting to influence the outcome of any legislation pending before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any person required to register under Chapter 305, Government Code, retained or employed by the political subdivision or entity for the purpose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electronic copy of any contract for services for the purpose described by Subdivision (1) that is entered into by the political subdivision or entity with each person listed under Subdivision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requirements of Subsection (c), a political subdivision or entity described by Subsection (a) shall report to the Texas Ethics Commission and publish on the political subdivision's or entity's Internet website the amount of public money spent for membership fees and dues of any nonprofit state association or organization of similarly situated political subdivisions or entities that directly or indirectly influences or attempts to influence the outcome of any legislation pending before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Ethics Commission shall make available to the public an easily searchable database on the commission's Internet website containing the reports submitted to the commission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political subdivision or entity described by Subsection (a) does not comply with the requirements of this section, an interested party is entitled to appropriate injunctive relief to prevent further activity in violation of this section.  For purposes of this subsection, "interested party"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taxpayer of the political subdivision or entity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served by or receives services from the political subdivision or entity described by Subsection (a).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 an officer or employee of a political subdivision or entity described by Subsection (a) who appears before a legislative committee at the written request of the committee or a member of the legislature and does not take a position on any legislation.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