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investigation unit within the Health and Human Services Commission for certain illegally operating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531.0084.</w:t>
      </w:r>
      <w:r>
        <w:rPr>
          <w:u w:val="single"/>
        </w:rPr>
        <w:t xml:space="preserve"> </w:t>
      </w:r>
      <w:r>
        <w:rPr>
          <w:u w:val="single"/>
        </w:rPr>
        <w:t xml:space="preserve"> </w:t>
      </w:r>
      <w:r>
        <w:rPr>
          <w:u w:val="single"/>
        </w:rPr>
        <w:t xml:space="preserve">INVESTIGATION UNIT FOR ILLEGALLY OPERATING CHILD-CARE FACILITIES.  The executive commissioner shall maintain a unit within the child-care licensing division of the commission consisting of investigators whose primary responsibility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child-care facilities that are operating without a license, certification, registration, or listing required by Chapter 42,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appropriate enforcement actions against those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executive commissioner of the Health and Human Services Commission shall establish the investigation unit required by Section 531.0084,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706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706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91, Nays</w:t>
      </w:r>
      <w:r xml:space="preserve">
        <w:t> </w:t>
      </w:r>
      <w:r>
        <w:t xml:space="preserve">51,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