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86R6392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Watson</w:t>
      </w:r>
      <w:r xml:space="preserve">
        <w:tab wTab="150" tlc="none" cTlc="0"/>
      </w:r>
      <w:r>
        <w:t xml:space="preserve">S.B.</w:t>
      </w:r>
      <w:r xml:space="preserve">
        <w:t> </w:t>
      </w:r>
      <w:r>
        <w:t xml:space="preserve">No.</w:t>
      </w:r>
      <w:r xml:space="preserve">
        <w:t> </w:t>
      </w:r>
      <w:r>
        <w:t xml:space="preserve">707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placement and use of video recording equipment in certain child-care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42, Human Resources Code, is amended by adding Section 42.0429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42.0429.</w:t>
      </w:r>
      <w:r>
        <w:rPr>
          <w:u w:val="single"/>
        </w:rPr>
        <w:t xml:space="preserve"> </w:t>
      </w:r>
      <w:r>
        <w:rPr>
          <w:u w:val="single"/>
        </w:rPr>
        <w:t xml:space="preserve"> </w:t>
      </w:r>
      <w:r>
        <w:rPr>
          <w:u w:val="single"/>
        </w:rPr>
        <w:t xml:space="preserve">VIDEO SURVEILLANCE OF DAY-CARE CENTER.  (a)  Each day-care center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place video recording equipment in each area of the center occupied by children;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record each area described by Subdivision (1) any time children are present in the area.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day-care center is not required to operate video recording equipment required by this section when children are not present in the day-care center.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video recording equipment required by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visually monitor all areas of the day-care center occupied by children;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record video and audio from all areas of the day-care center occupied by children.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inside of a bathroom or any area in the day-care center in which a child's clothes are changed may not be visually monitored, except for incidental coverage of a minor portion of a bathroom or changing area because of the layout of the center.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(f), a day-care center shall retain video recorded from video recording equipment required by this section for at least three months after the date the video is recorded.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person described by Subsection (g) requests to view video recorded from video recording equipment required by this section, a day-care center shall retain the video from the date of receipt of the request until the person has viewed the video and a determination has been made as to whether the video documents an alleged incident.  If the video documents an alleged incident, the center shall retain the video until the alleged incident has been resolved, including the exhaustion of all appeals.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video of a child recorded from video recording equipment required by this section is confidential and may not be released or viewed except as provided by this subsection or Subsection (h).  A day-care center shall release a video for viewing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employee who is involved in an alleged incident that is documented by the video and has been reported to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parent of a child who is involved in an alleged incident that is documented by the video and has been reported to the commission, on request of the parent;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appropriate commission, department, or law enforcement personnel as part of an investigation of a report of alleged or suspected abuse or neglect of a child.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contractor or employee performing job duties relating to the installation, operation, or maintenance of video recording equipment or the retention of recorded videos who incidentally views a video is not in violation of Subsection (g).</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executive commissioner may adopt rules to implement and administer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Notwithstanding Section 42.0429, Human Resources Code, as added by this Act, a day-care center is not required to be equipped with video recording equipment as required by that section before January 1, 2020.</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