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708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and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or department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or department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including information collected by the department,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or department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or department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review the data collected under Section 42.0412 and prepare and submit to the legislature a report that includes recommendations regarding modifications to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