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collection and use of child safety data for licensed day-care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42.0412.</w:t>
      </w:r>
      <w:r>
        <w:rPr>
          <w:u w:val="single"/>
        </w:rPr>
        <w:t xml:space="preserve"> </w:t>
      </w:r>
      <w:r>
        <w:rPr>
          <w:u w:val="single"/>
        </w:rPr>
        <w:t xml:space="preserve"> </w:t>
      </w:r>
      <w:r>
        <w:rPr>
          <w:u w:val="single"/>
        </w:rPr>
        <w:t xml:space="preserve">COLLECTION OF LICENSED DAY-CARE CENTER DATA.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"group of children" and "specified age"</w:t>
      </w:r>
      <w:r>
        <w:rPr>
          <w:u w:val="single"/>
        </w:rPr>
        <w:t xml:space="preserve"> </w:t>
      </w:r>
      <w:r>
        <w:rPr>
          <w:u w:val="single"/>
        </w:rPr>
        <w:t xml:space="preserve">are determined by the formula provided in the commission's minimum standards for child-care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department and using existing resources, shall collect, compile, and publish on the commission's Internet website the following data aggregated by child age on reported incidents in licensed day-care centers that threaten or impair the basic health, safety, or welfare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incidents investigated by the commission or department and assigned the commission's highest priority;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incidents investigated by the commission or department and assigned the commission's second-highest priority;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confirmed serious injuries to children;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child fatalities.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each monitoring inspection of a licensed day-care center the commission conducts, the commission, using existing resources, shall collect the following data for each group of children four years of age and younger in the day-care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specified age of the children in the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in the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caregivers supervising the children in the group.</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using existing resources, shall collect and publish on the commission's Internet website data on the total number of employees who left employment with each licensed day-care center during the preceding calendar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data collected under this section available to persons researching the factors related to child injury, maltreatment, and death in licensed day-care centers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using existing resources, shall provide an annual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confirmed serious injuries and fatalities for children four years of age and younger, aggregated by the age of the injured or deceased child, including information collected by the department, that occurred: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each licensed day-care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location other than a licensed day-care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priority assigned to the investigation conducted by the commission or department in response to an incident that resulted in a serious injury or child fatality;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commission or department at each licensed day-care center involving a child four years of age or younger that were assigned the highest priority or second-highest priority, aggregated by the age of the youngest affected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violations the commission found at each licensed day-care center during investigations described by Subdivision (3);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comparison on whether children under the supervision of a licensed day-care center are more likely than children outside the supervision of a licensed day-care center to suffer a serious injury or death.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in collaboration with the department and using existing resources, shall research, collect, compile, and publish on the commission's Internet website, in a way that allows meaningful comparison on a pro-rata basis of the relative frequency of each event included in the information required under Subsection (b)(4) and (5), the following data aggregated by child age regarding incidents at a location other than a licensed day-care center that threaten or impair the basic health, safety, or welfare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confirmed serious injuries to children;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 fatalities.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collaborate with one or more state agencies to perform a duty under Subsections (e) and (f).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 Human Resources Code, is amended by adding Subsection (m-1)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Not later than January 1, 2021, the executive commissioner shall review the data collected under Section 42.0412 and prepare and submit to the legislature a report that includes legislative and regulatory recommendations by age group to enhance child safety.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42.0412(d), Human Resources Code, as added by this Act, the Health and Human Services Commission is not required to comply with that subsection until January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708 passed the Senate on May</w:t>
      </w:r>
      <w:r xml:space="preserve">
        <w:t> </w:t>
      </w:r>
      <w:r>
        <w:t xml:space="preserve">1,</w:t>
      </w:r>
      <w:r xml:space="preserve">
        <w:t> </w:t>
      </w:r>
      <w:r>
        <w:t xml:space="preserve">2019, by the following vote:  Yeas</w:t>
      </w:r>
      <w:r xml:space="preserve">
        <w:t> </w:t>
      </w:r>
      <w:r>
        <w:t xml:space="preserve">30, Nays</w:t>
      </w:r>
      <w:r xml:space="preserve">
        <w:t> </w:t>
      </w:r>
      <w:r>
        <w:t xml:space="preserve">1; and that the Senate concurred in House amendments on May 23, 2019, by the following vote:  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708 passed the House, with amendments, on May</w:t>
      </w:r>
      <w:r xml:space="preserve">
        <w:t> </w:t>
      </w:r>
      <w:r>
        <w:t xml:space="preserve">17,</w:t>
      </w:r>
      <w:r xml:space="preserve">
        <w:t> </w:t>
      </w:r>
      <w:r>
        <w:t xml:space="preserve">2019, by the following vote:  Yeas</w:t>
      </w:r>
      <w:r xml:space="preserve">
        <w:t> </w:t>
      </w:r>
      <w:r>
        <w:t xml:space="preserve">137, Nays</w:t>
      </w:r>
      <w:r xml:space="preserve">
        <w:t> </w:t>
      </w:r>
      <w:r>
        <w:t xml:space="preserve">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