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710</w:t>
      </w:r>
    </w:p>
    <w:p w:rsidR="003F3435" w:rsidRDefault="0032493E">
      <w:pPr>
        <w:ind w:firstLine="720"/>
        <w:jc w:val="both"/>
      </w:pPr>
      <w:r>
        <w:t xml:space="preserve">(Toth)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for the creation of a county ethics commission in any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cited as the J. D. Lambright Local Government Ethics Reform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