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allowing safety recall information to be included in a vehicle inspection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382.202, Health and Safety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may adopt rules providing for the inclusion on a vehicle inspection report for a vehicle inspected in a county that is included in a vehicle emissions inspection and maintenance program under Subchapter F, Chapter 548, Transportation Code, of notification regarding whether the vehicle is subject to a safety recall for which the vehicle has not been repaired or the repairs are incomplete. </w:t>
      </w:r>
      <w:r>
        <w:rPr>
          <w:u w:val="single"/>
        </w:rPr>
        <w:t xml:space="preserve"> </w:t>
      </w:r>
      <w:r>
        <w:rPr>
          <w:u w:val="single"/>
        </w:rPr>
        <w:t xml:space="preserve">The commission may accept gifts, grants, and donations from any source, including private and nonprofit organizations, for the purpose of providing the notification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548.252,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adopt rules providing for the inclusion on a vehicle inspection report for a vehicle inspected under this chapter notification regarding whether the vehicle is subject to a safety recall for which the vehicle has not been repaired or the repairs are incomplete.  The department may accept gifts, grants, and donations from any source, including private and nonprofit organizations, for the purpose of providing the notification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Commission on Environmental Quality and the Department of Public Safety of the State of Texas are required to implement a provision of this Act, as applicable, only if the legislature appropriates money specifically for that purpose. </w:t>
      </w:r>
      <w:r>
        <w:t xml:space="preserve"> </w:t>
      </w:r>
      <w:r>
        <w:t xml:space="preserve">If the legislature does not appropriate money specifically for that purpose, the commission and the department may, but are not required to, implement a provision of this Act, as applicable,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711 passed the Senate on May</w:t>
      </w:r>
      <w:r xml:space="preserve">
        <w:t> </w:t>
      </w:r>
      <w:r>
        <w:t xml:space="preserve">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711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135, Nays</w:t>
      </w:r>
      <w:r xml:space="preserve">
        <w:t> </w:t>
      </w:r>
      <w:r>
        <w:t xml:space="preserve">12,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