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711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8,</w:t>
      </w:r>
      <w:r xml:space="preserve">
        <w:t> </w:t>
      </w:r>
      <w:r>
        <w:t xml:space="preserve">2019; March</w:t>
      </w:r>
      <w:r xml:space="preserve">
        <w:t> </w:t>
      </w:r>
      <w:r>
        <w:t xml:space="preserve">1,</w:t>
      </w:r>
      <w:r xml:space="preserve">
        <w:t> </w:t>
      </w:r>
      <w:r>
        <w:t xml:space="preserve">2019, read first time and referred to Committee on Transportation;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711</w:t>
      </w:r>
      <w:r xml:space="preserve">
        <w:tab wTab="150" tlc="none" cTlc="0"/>
      </w:r>
      <w:r>
        <w:t xml:space="preserve">By:</w:t>
      </w:r>
      <w:r xml:space="preserve">
        <w:t> </w:t>
      </w:r>
      <w:r xml:space="preserve">
        <w:t> </w:t>
      </w:r>
      <w:r>
        <w:t xml:space="preserve">Hinojosa</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allowing safety recall information to be included in a vehicle inspection report.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382.202, Health and Safety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may adopt rules providing for the inclusion on a vehicle inspection report for a vehicle inspected in a county that is included in a vehicle emissions inspection and maintenance program under Subchapter F, Chapter 548, Transportation Code, of notification regarding whether the vehicle is subject to a safety recall for which the vehicle has not been repaired or the repairs are incomplete. </w:t>
      </w:r>
      <w:r>
        <w:rPr>
          <w:u w:val="single"/>
        </w:rPr>
        <w:t xml:space="preserve"> </w:t>
      </w:r>
      <w:r>
        <w:rPr>
          <w:u w:val="single"/>
        </w:rPr>
        <w:t xml:space="preserve">The commission may accept gifts, grants, and donations from any source, including private and nonprofit organizations, for the purpose of providing the notification described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548.252,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adopt rules providing for the inclusion on a vehicle inspection report for a vehicle inspected under this chapter notification regarding whether the vehicle is subject to a safety recall for which the vehicle has not been repaired or the repairs are incomplete.  The department may accept gifts, grants, and donations from any source, including private and nonprofit organizations, for the purpose of providing the notification described by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