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86R1844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use of certain behavioral interventions on students enrolled in public school who receive special education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37.0021, Education Code, is amended by adding Subsections (d-1), (d-2), and (d-3)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a school district employee or volunteer or an independent contractor of a school district may not authorize, order, consent to, or pay for any of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is designed to or likely to cause physical pain, including electric shock or any procedure that involves the use of pressure points or joint locks;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involves the directed release of a noxious, toxic, or otherwise unpleasant spray, mist, or substance near the student's face;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denies adequate sleep, air, food, water, shelter, bedding, physical comfort, or access to a restroom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involves subjecting the student to verbal abuse, ridicule, or humiliation or that can be expected to cause the student emotional trauma;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restrictive intervention that employs a device, material, or object that simultaneously immobilizes all four extremities, including any procedure that results in such immobilization known as prone or supine floor restraint;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impairs the student's breathing, including any procedure that involves: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applying pressure to the student's torso or neck;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obstructing the student's airway, including placing an object in, on, or over the student's mouth or nose or placing a bag, cover, or mask over the student's face;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restricts the student's circulation;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secures the student to a stationary object while the student is in a sitting or standing position;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inhibits, reduces, or hinders the student's ability to communicate;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involves the use of a chemical restraint;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prevents observation by a direct line of sight or otherwise precludes adequate supervision of the student, including isolating the student in a classroom by the use of physical barriers;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deprives the student of the use of one or more of the student's senses.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(d-1)(11), an intervention that denies the student academic instruction by a certified educator constitutes an intervention that precludes adequate supervision.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procedures under this section, the commissioner shall provide guidance to school district employees, volunteers, and independent contractors of school districts in avoiding a violation of Subsection (d-1).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