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86R33658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722</w:t>
      </w:r>
    </w:p>
    <w:p w:rsidR="003F3435" w:rsidRDefault="0032493E">
      <w:pPr>
        <w:ind w:firstLine="720"/>
        <w:jc w:val="both"/>
      </w:pPr>
      <w:r>
        <w:t xml:space="preserve">(Huberty)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722:</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severance payment to a superintendent of a school district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The board of trustees that makes a severance payment to a superintendent shall report the terms of the severance payment to the commissioner.  The commissioner shall reduce the district's Foundation School Program funds by any amount that the amount of the severance payment to the superintendent exceeds an amount equal to one year's salary and benefits under the superintendent's terminated contract.  </w:t>
      </w:r>
      <w:r>
        <w:rPr>
          <w:u w:val="single"/>
        </w:rPr>
        <w:t xml:space="preserve">The board of trustees may not make any severance payment if the superintendent's contract was terminated for cause under Section 21.211 or not renewed for cause or if the superintendent resigned in lieu of termination or nonrenewal for cause.</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