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86R3678 CJC-F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verification of information provided to the comptroller and contained in reports on compliance with agreements under the Texas Economic Development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313.032(c),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portion of the report described by Subsection (a)(2) must be based on data certified to the comptroller by each recipient or former recipient of a limitation on appraised value under this chapter.  </w:t>
      </w:r>
      <w:r>
        <w:rPr>
          <w:u w:val="single"/>
        </w:rPr>
        <w:t xml:space="preserve">The recipient or former recipient shall contract with an independent certified public accountant to verify the data certified to the comptroller. </w:t>
      </w:r>
      <w:r>
        <w:rPr>
          <w:u w:val="single"/>
        </w:rPr>
        <w:t xml:space="preserve"> </w:t>
      </w:r>
      <w:r>
        <w:rPr>
          <w:u w:val="single"/>
        </w:rPr>
        <w:t xml:space="preserve">The data may be verified using information from any reliable source, including the Texas Workforce Commission and the chief appraiser of the applicable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