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86R7306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731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fantasy sports contests.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13, Occupations Code, is amended by adding Chapter 2053 to read as follows:</w:t>
      </w:r>
    </w:p>
    <w:p w:rsidR="003F3435" w:rsidRDefault="0032493E">
      <w:pPr>
        <w:spacing w:line="480" w:lineRule="auto"/>
        <w:jc w:val="center"/>
      </w:pPr>
      <w:r>
        <w:rPr>
          <w:u w:val="single"/>
        </w:rPr>
        <w:t xml:space="preserve">CHAPTER 2053. FANTASY SPORTS CONTESTS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2053.001.</w:t>
      </w:r>
      <w:r>
        <w:rPr>
          <w:u w:val="single"/>
        </w:rPr>
        <w:t xml:space="preserve"> </w:t>
      </w:r>
      <w:r>
        <w:rPr>
          <w:u w:val="single"/>
        </w:rPr>
        <w:t xml:space="preserve"> </w:t>
      </w:r>
      <w:r>
        <w:rPr>
          <w:u w:val="single"/>
        </w:rPr>
        <w:t xml:space="preserve">DEFINITIONS.</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"Fantasy sports contest" means a competition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participant pays money or other consideration for the opportunity to assemble a fictional team composed of professional or amateur sports athletes selected by the participant to compete against other fictional teams of sports athletes assembled by other competition participants;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outcome of the competition reflects the relative knowledge and skill of the participants and is based on the actual statistical performance of the selected athletes in sports competitions, or in a season or series of sports competitions;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prize is awarded to the competition winner;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outcome of the competition or the redemption of the winnings is not displayed or represented in a manner that mimics a slot machine or other form of casino gaming, including a banked card game, poker, craps, roulette, keno, lotto, and bingo;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competition is not presented using any depiction of a casino gaming graphic, theme, or title, including any depiction of a slot machine-style symbol, a banked card game, poker, craps, roulette, keno, lotto, and bingo.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"Fantasy sports operator" means a person, including an entity or a division of an entity, that offers fantasy sports contests to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"Sports association" means a group of professional or amateur teams or athletes that compete against one another in a specific sport.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2053.002.</w:t>
      </w:r>
      <w:r>
        <w:rPr>
          <w:u w:val="single"/>
        </w:rPr>
        <w:t xml:space="preserve"> </w:t>
      </w:r>
      <w:r>
        <w:rPr>
          <w:u w:val="single"/>
        </w:rPr>
        <w:t xml:space="preserve"> </w:t>
      </w:r>
      <w:r>
        <w:rPr>
          <w:u w:val="single"/>
        </w:rPr>
        <w:t xml:space="preserve">LEGISLATIVE FINDINGS.  (a)  The legislature finds that a participant in a fantasy sports contest is an actual contestant in a bona fide competition to determine the skill of the participant in assembling a fictional team of sports athletes.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pays money or other consideration to participate in a fantasy sports contest is not placing a bet for purposes of the application of an offense under Chapter 47,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2053.003.</w:t>
      </w:r>
      <w:r>
        <w:rPr>
          <w:u w:val="single"/>
        </w:rPr>
        <w:t xml:space="preserve"> </w:t>
      </w:r>
      <w:r>
        <w:rPr>
          <w:u w:val="single"/>
        </w:rPr>
        <w:t xml:space="preserve"> </w:t>
      </w:r>
      <w:r>
        <w:rPr>
          <w:u w:val="single"/>
        </w:rPr>
        <w:t xml:space="preserve">PARTICIPATION IN FANTASY SPORTS CONTEST.  An individual may pay money or other consideration to participate in a fantasy sports contest.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2053.004.</w:t>
      </w:r>
      <w:r>
        <w:rPr>
          <w:u w:val="single"/>
        </w:rPr>
        <w:t xml:space="preserve"> </w:t>
      </w:r>
      <w:r>
        <w:rPr>
          <w:u w:val="single"/>
        </w:rPr>
        <w:t xml:space="preserve"> </w:t>
      </w:r>
      <w:r>
        <w:rPr>
          <w:u w:val="single"/>
        </w:rPr>
        <w:t xml:space="preserve">OPERATION OF FANTASY SPORTS CONTEST.  (a)  A person may offer fantasy sports contests as a fantasy sports operator in this state in accordance with this chapter and any applicable federal law and may participate in the earnings of a business that offers fantasy sports contests.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fantasy sports operator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a prize based: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score, the point spread, or any performance of a single professional or amateur sports team or any combination of professional or amateur sports teams;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solely on any single performance of an individual athlete in a single professional or amateur sports competition or other event;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a fantasy sports contest based on a live pari-mutuel racing performance regulated under Subtitle A-1 (Texas Racing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a fantasy sports contest to the public without disclosing before the contest all prizes offered to winning participants of the contest;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a fantasy sports contest based on the performance of athletes in a youth, high school, or collegiate sports competition or athletic event.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2053.005.</w:t>
      </w:r>
      <w:r>
        <w:rPr>
          <w:u w:val="single"/>
        </w:rPr>
        <w:t xml:space="preserve"> </w:t>
      </w:r>
      <w:r>
        <w:rPr>
          <w:u w:val="single"/>
        </w:rPr>
        <w:t xml:space="preserve"> </w:t>
      </w:r>
      <w:r>
        <w:rPr>
          <w:u w:val="single"/>
        </w:rPr>
        <w:t xml:space="preserve">CONSUMER PROTECTION.  A fantasy sports operator shall implement commercially reasonable procedures for fantasy sports contests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an employee or agent of the operator, and any relative living in the same household as the employee or agent, from competing in a fantasy sports contest offered by the operator to the public in which a cash prize is awarded;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an employee or agent of the operator from sharing with third parties before the information is made publicly available information relevant to a fantasy sports contest that is obtained by the employee or agent because of the person's employment or agency and that could affect fantasy sports contest play;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verify that fantasy sports contest participants are 18 years of age or older;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 an individual who is a player, a game official, or another participant in a professional or amateur sports competition from participating in a fantasy sports contest that is determined, wholly or partly, on the performance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individual, the individual's professional or amateur team, or the accumulated statistical results of the sport or competition in which the individual is a player, game official, or other participant;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individual or team competing in the same sports association in which the individual participates;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segregate contest participants' funds from the operator's funds or maintain a reserve in the form of cash, cash equivalents, an irrevocable letter of credit, a bond, payment processor reserves, payment processor receivables, or any combination of those forms, in an amount equal to or greater than the total amount of funds in all contest participants' accounts, for the benefit and protection of the funds held in those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2053.006.</w:t>
      </w:r>
      <w:r>
        <w:rPr>
          <w:u w:val="single"/>
        </w:rPr>
        <w:t xml:space="preserve"> </w:t>
      </w:r>
      <w:r>
        <w:rPr>
          <w:u w:val="single"/>
        </w:rPr>
        <w:t xml:space="preserve"> </w:t>
      </w:r>
      <w:r>
        <w:rPr>
          <w:u w:val="single"/>
        </w:rPr>
        <w:t xml:space="preserve">INJUNCTIVE RELIEF.  (a)  The attorney general may institute an action for injunctive relief to restrain a violation by a person who appears to be in violation of or threatening to violate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filed under this section by the attorney general must be filed in a district court in Travis County or the county in which the violation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expenses incurred in obtaining injunctive relief under this section, including court costs, reasonable attorney's fees, investigative costs, witness fees, and deposition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injunction issued under this section, a court may include reasonable requirements to prevent further violations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47.02(c), Penal Code, as effective April 1, 2019,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reasonably believed that the conduct:</w:t>
      </w:r>
    </w:p>
    <w:p w:rsidR="003F3435" w:rsidRDefault="0032493E">
      <w:pPr>
        <w:spacing w:line="480" w:lineRule="auto"/>
        <w:ind w:firstLine="1440"/>
        <w:jc w:val="both"/>
      </w:pPr>
      <w:r>
        <w:t xml:space="preserve">(1)</w:t>
      </w:r>
      <w:r xml:space="preserve">
        <w:t> </w:t>
      </w:r>
      <w:r xml:space="preserve">
        <w:t> </w:t>
      </w:r>
      <w:r>
        <w:t xml:space="preserve">was permitted under Chapter 2001, Occupations Code;</w:t>
      </w:r>
    </w:p>
    <w:p w:rsidR="003F3435" w:rsidRDefault="0032493E">
      <w:pPr>
        <w:spacing w:line="480" w:lineRule="auto"/>
        <w:ind w:firstLine="1440"/>
        <w:jc w:val="both"/>
      </w:pPr>
      <w:r>
        <w:t xml:space="preserve">(2)</w:t>
      </w:r>
      <w:r xml:space="preserve">
        <w:t> </w:t>
      </w:r>
      <w:r xml:space="preserve">
        <w:t> </w:t>
      </w:r>
      <w:r>
        <w:t xml:space="preserve">was permitted under Chapter 2002, Occupations Code;</w:t>
      </w:r>
    </w:p>
    <w:p w:rsidR="003F3435" w:rsidRDefault="0032493E">
      <w:pPr>
        <w:spacing w:line="480" w:lineRule="auto"/>
        <w:ind w:firstLine="1440"/>
        <w:jc w:val="both"/>
      </w:pPr>
      <w:r>
        <w:t xml:space="preserve">(3)</w:t>
      </w:r>
      <w:r xml:space="preserve">
        <w:t> </w:t>
      </w:r>
      <w:r xml:space="preserve">
        <w:t> </w:t>
      </w:r>
      <w:r>
        <w:t xml:space="preserve">was permitted under Chapter 2004, Occupations Code;</w:t>
      </w:r>
    </w:p>
    <w:p w:rsidR="003F3435" w:rsidRDefault="0032493E">
      <w:pPr>
        <w:spacing w:line="480" w:lineRule="auto"/>
        <w:ind w:firstLine="1440"/>
        <w:jc w:val="both"/>
      </w:pPr>
      <w:r>
        <w:t xml:space="preserve">(4)</w:t>
      </w:r>
      <w:r xml:space="preserve">
        <w:t> </w:t>
      </w:r>
      <w:r xml:space="preserve">
        <w:t> </w:t>
      </w:r>
      <w:r>
        <w:rPr>
          <w:u w:val="single"/>
        </w:rPr>
        <w:t xml:space="preserve">was permitted under Chapter 2053, Occupations Code;</w:t>
      </w:r>
    </w:p>
    <w:p w:rsidR="003F3435" w:rsidRDefault="0032493E">
      <w:pPr>
        <w:spacing w:line="480" w:lineRule="auto"/>
        <w:ind w:firstLine="1440"/>
        <w:jc w:val="both"/>
      </w:pPr>
      <w:r>
        <w:rPr>
          <w:u w:val="single"/>
        </w:rPr>
        <w:t xml:space="preserve">(5)</w:t>
      </w:r>
      <w:r xml:space="preserve">
        <w:t> </w:t>
      </w:r>
      <w:r xml:space="preserve">
        <w:t> </w:t>
      </w:r>
      <w:r>
        <w:t xml:space="preserve">consisted entirely of participation in the state lottery authorized by the State Lottery Act (Chapter 466, Government Code);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was permitted under Subtitle A-1, Title 13, Occupations Code (Texas Racing Act);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consisted entirely of participation in a drawing for the opportunity to participate in a hunting, fishing, or other recreational event conducted by the Parks and Wildlife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47.09(a), Penal Code, as effective April 1, 2019, is amended to read as follows:</w:t>
      </w:r>
    </w:p>
    <w:p w:rsidR="003F3435" w:rsidRDefault="0032493E">
      <w:pPr>
        <w:spacing w:line="480" w:lineRule="auto"/>
        <w:ind w:firstLine="720"/>
        <w:jc w:val="both"/>
      </w:pPr>
      <w:r>
        <w:t xml:space="preserve">(a)</w:t>
      </w:r>
      <w:r xml:space="preserve">
        <w:t> </w:t>
      </w:r>
      <w:r xml:space="preserve">
        <w:t> </w:t>
      </w:r>
      <w:r>
        <w:t xml:space="preserve">It is a defense to prosecution under this chapter that the conduct:</w:t>
      </w:r>
    </w:p>
    <w:p w:rsidR="003F3435" w:rsidRDefault="0032493E">
      <w:pPr>
        <w:spacing w:line="480" w:lineRule="auto"/>
        <w:ind w:firstLine="1440"/>
        <w:jc w:val="both"/>
      </w:pPr>
      <w:r>
        <w:t xml:space="preserve">(1)</w:t>
      </w:r>
      <w:r xml:space="preserve">
        <w:t> </w:t>
      </w:r>
      <w:r xml:space="preserve">
        <w:t> </w:t>
      </w:r>
      <w:r>
        <w:t xml:space="preserve">was authorized under:</w:t>
      </w:r>
    </w:p>
    <w:p w:rsidR="003F3435" w:rsidRDefault="0032493E">
      <w:pPr>
        <w:spacing w:line="480" w:lineRule="auto"/>
        <w:ind w:firstLine="2160"/>
        <w:jc w:val="both"/>
      </w:pPr>
      <w:r>
        <w:t xml:space="preserve">(A)</w:t>
      </w:r>
      <w:r xml:space="preserve">
        <w:t> </w:t>
      </w:r>
      <w:r xml:space="preserve">
        <w:t> </w:t>
      </w:r>
      <w:r>
        <w:t xml:space="preserve">Chapter 2001, Occupations Code;</w:t>
      </w:r>
    </w:p>
    <w:p w:rsidR="003F3435" w:rsidRDefault="0032493E">
      <w:pPr>
        <w:spacing w:line="480" w:lineRule="auto"/>
        <w:ind w:firstLine="2160"/>
        <w:jc w:val="both"/>
      </w:pPr>
      <w:r>
        <w:t xml:space="preserve">(B)</w:t>
      </w:r>
      <w:r xml:space="preserve">
        <w:t> </w:t>
      </w:r>
      <w:r xml:space="preserve">
        <w:t> </w:t>
      </w:r>
      <w:r>
        <w:t xml:space="preserve">Chapter 2002, Occupations Code;</w:t>
      </w:r>
    </w:p>
    <w:p w:rsidR="003F3435" w:rsidRDefault="0032493E">
      <w:pPr>
        <w:spacing w:line="480" w:lineRule="auto"/>
        <w:ind w:firstLine="2160"/>
        <w:jc w:val="both"/>
      </w:pPr>
      <w:r>
        <w:t xml:space="preserve">(C)</w:t>
      </w:r>
      <w:r xml:space="preserve">
        <w:t> </w:t>
      </w:r>
      <w:r xml:space="preserve">
        <w:t> </w:t>
      </w:r>
      <w:r>
        <w:t xml:space="preserve">Chapter 2004, Occupations Code;</w:t>
      </w:r>
    </w:p>
    <w:p w:rsidR="003F3435" w:rsidRDefault="0032493E">
      <w:pPr>
        <w:spacing w:line="480" w:lineRule="auto"/>
        <w:ind w:firstLine="2160"/>
        <w:jc w:val="both"/>
      </w:pPr>
      <w:r>
        <w:t xml:space="preserve">(D)</w:t>
      </w:r>
      <w:r xml:space="preserve">
        <w:t> </w:t>
      </w:r>
      <w:r xml:space="preserve">
        <w:t> </w:t>
      </w:r>
      <w:r>
        <w:rPr>
          <w:u w:val="single"/>
        </w:rPr>
        <w:t xml:space="preserve">Chapter 2053, Occupations Code;</w:t>
      </w:r>
    </w:p>
    <w:p w:rsidR="003F3435" w:rsidRDefault="0032493E">
      <w:pPr>
        <w:spacing w:line="480" w:lineRule="auto"/>
        <w:ind w:firstLine="2160"/>
        <w:jc w:val="both"/>
      </w:pPr>
      <w:r>
        <w:rPr>
          <w:u w:val="single"/>
        </w:rPr>
        <w:t xml:space="preserve">(E)</w:t>
      </w:r>
      <w:r xml:space="preserve">
        <w:t> </w:t>
      </w:r>
      <w:r xml:space="preserve">
        <w:t> </w:t>
      </w:r>
      <w:r>
        <w:t xml:space="preserve">Subtitle A-1, Title 13, Occupations Code (Texas Racing Act); or</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Chapter 280, Finance Code;</w:t>
      </w:r>
    </w:p>
    <w:p w:rsidR="003F3435" w:rsidRDefault="0032493E">
      <w:pPr>
        <w:spacing w:line="480" w:lineRule="auto"/>
        <w:ind w:firstLine="1440"/>
        <w:jc w:val="both"/>
      </w:pPr>
      <w:r>
        <w:t xml:space="preserve">(2)</w:t>
      </w:r>
      <w:r xml:space="preserve">
        <w:t> </w:t>
      </w:r>
      <w:r xml:space="preserve">
        <w:t> </w:t>
      </w:r>
      <w:r>
        <w:t xml:space="preserve">consisted entirely of participation in the state lottery authorized by Chapter 466, Government Code; or</w:t>
      </w:r>
    </w:p>
    <w:p w:rsidR="003F3435" w:rsidRDefault="0032493E">
      <w:pPr>
        <w:spacing w:line="480" w:lineRule="auto"/>
        <w:ind w:firstLine="1440"/>
        <w:jc w:val="both"/>
      </w:pPr>
      <w:r>
        <w:t xml:space="preserve">(3)</w:t>
      </w:r>
      <w:r xml:space="preserve">
        <w:t> </w:t>
      </w:r>
      <w:r xml:space="preserve">
        <w:t> </w:t>
      </w:r>
      <w:r>
        <w:t xml:space="preserve">was a necessary incident to the operation of the state lottery and was directly or indirectly authorized by:</w:t>
      </w:r>
    </w:p>
    <w:p w:rsidR="003F3435" w:rsidRDefault="0032493E">
      <w:pPr>
        <w:spacing w:line="480" w:lineRule="auto"/>
        <w:ind w:firstLine="2160"/>
        <w:jc w:val="both"/>
      </w:pPr>
      <w:r>
        <w:t xml:space="preserve">(A)</w:t>
      </w:r>
      <w:r xml:space="preserve">
        <w:t> </w:t>
      </w:r>
      <w:r xml:space="preserve">
        <w:t> </w:t>
      </w:r>
      <w:r>
        <w:t xml:space="preserve">Chapter 466, Government Code;</w:t>
      </w:r>
    </w:p>
    <w:p w:rsidR="003F3435" w:rsidRDefault="0032493E">
      <w:pPr>
        <w:spacing w:line="480" w:lineRule="auto"/>
        <w:ind w:firstLine="2160"/>
        <w:jc w:val="both"/>
      </w:pPr>
      <w:r>
        <w:t xml:space="preserve">(B)</w:t>
      </w:r>
      <w:r xml:space="preserve">
        <w:t> </w:t>
      </w:r>
      <w:r xml:space="preserve">
        <w:t> </w:t>
      </w:r>
      <w:r>
        <w:t xml:space="preserve">the lottery division of the Texas Lottery Commission;</w:t>
      </w:r>
    </w:p>
    <w:p w:rsidR="003F3435" w:rsidRDefault="0032493E">
      <w:pPr>
        <w:spacing w:line="480" w:lineRule="auto"/>
        <w:ind w:firstLine="2160"/>
        <w:jc w:val="both"/>
      </w:pPr>
      <w:r>
        <w:t xml:space="preserve">(C)</w:t>
      </w:r>
      <w:r xml:space="preserve">
        <w:t> </w:t>
      </w:r>
      <w:r xml:space="preserve">
        <w:t> </w:t>
      </w:r>
      <w:r>
        <w:t xml:space="preserve">the Texas Lottery Commission; or</w:t>
      </w:r>
    </w:p>
    <w:p w:rsidR="003F3435" w:rsidRDefault="0032493E">
      <w:pPr>
        <w:spacing w:line="480" w:lineRule="auto"/>
        <w:ind w:firstLine="2160"/>
        <w:jc w:val="both"/>
      </w:pPr>
      <w:r>
        <w:t xml:space="preserve">(D)</w:t>
      </w:r>
      <w:r xml:space="preserve">
        <w:t> </w:t>
      </w:r>
      <w:r xml:space="preserve">
        <w:t> </w:t>
      </w:r>
      <w:r>
        <w:t xml:space="preserve">the director of the lottery division of the Texas Lottery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