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746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w:t>
      </w:r>
      <w:r>
        <w:rPr>
          <w:u w:val="single"/>
        </w:rPr>
        <w:t xml:space="preserve"> </w:t>
      </w:r>
      <w:r>
        <w:rPr>
          <w:u w:val="single"/>
        </w:rPr>
        <w:t xml:space="preserve"> </w:t>
      </w:r>
      <w:r>
        <w:rPr>
          <w:u w:val="single"/>
        </w:rPr>
        <w:t xml:space="preserve">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