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746</w:t>
      </w:r>
    </w:p>
    <w:p w:rsidR="003F3435" w:rsidRDefault="0032493E">
      <w:pPr>
        <w:ind w:firstLine="720"/>
        <w:jc w:val="both"/>
      </w:pPr>
      <w:r>
        <w:t xml:space="preserve">(Cortez)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associated with voter approval of municipal annexation.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 Local Government Code, is amended by adding Section 43.004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43.004.</w:t>
      </w:r>
      <w:r>
        <w:rPr>
          <w:u w:val="single"/>
        </w:rPr>
        <w:t xml:space="preserve"> </w:t>
      </w:r>
      <w:r>
        <w:rPr>
          <w:u w:val="single"/>
        </w:rPr>
        <w:t xml:space="preserve"> </w:t>
      </w:r>
      <w:r>
        <w:rPr>
          <w:u w:val="single"/>
        </w:rPr>
        <w:t xml:space="preserve">PETITION FOR ELECTION ON CONSIDERATION AS TIER 2 COUNTY.  (a)</w:t>
      </w:r>
      <w:r>
        <w:rPr>
          <w:u w:val="single"/>
        </w:rPr>
        <w:t xml:space="preserve"> </w:t>
      </w:r>
      <w:r>
        <w:rPr>
          <w:u w:val="single"/>
        </w:rPr>
        <w:t xml:space="preserve"> </w:t>
      </w:r>
      <w:r>
        <w:rPr>
          <w:u w:val="single"/>
        </w:rPr>
        <w:t xml:space="preserve">The registered voters of a tier 1 county may file a petition with the commissioners court of the county requesting an election in the county to determine whether the county should be considered a tier 2 county for the purposes of this chapter.  The petition must contain the signatures of at least seven percent of the registered voters of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receives a petition for an election under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signatures on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verifies that the petition satisfies the signature requirement under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order the election;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notice of the verified petition as soon as practicable to the governing body of each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located wholly or partly in the county;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extraterritorial jurisdiction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majority of the votes cast at an election held under Subsection (b) favor the proposition, the county is considered a tier 2 county for the purposes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43.0686(b),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municipality does not obtain the number of signatures on the petition required to annex the area, the municipality may not annex </w:t>
      </w:r>
      <w:r>
        <w:rPr>
          <w:u w:val="single"/>
        </w:rPr>
        <w:t xml:space="preserve">any part of</w:t>
      </w:r>
      <w:r>
        <w:t xml:space="preserve"> the area and may not adopt another resolution under Section 43.0682 to annex </w:t>
      </w:r>
      <w:r>
        <w:rPr>
          <w:u w:val="single"/>
        </w:rPr>
        <w:t xml:space="preserve">any part of</w:t>
      </w:r>
      <w:r>
        <w:t xml:space="preserve"> the area until the </w:t>
      </w:r>
      <w:r>
        <w:rPr>
          <w:u w:val="single"/>
        </w:rPr>
        <w:t xml:space="preserve">fifth</w:t>
      </w:r>
      <w:r>
        <w:t xml:space="preserve"> [</w:t>
      </w:r>
      <w:r>
        <w:rPr>
          <w:strike/>
        </w:rPr>
        <w:t xml:space="preserve">first</w:t>
      </w:r>
      <w:r>
        <w:t xml:space="preserve">] anniversary of the date the petition period 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43.0697(b),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at the election held under this subchapter a majority of qualified voters do not approve the proposed annexation, or if the municipality is required to petition owners of land in the area under Section 43.0695 and does not obtain the required number of signatures, the municipality may not annex </w:t>
      </w:r>
      <w:r>
        <w:rPr>
          <w:u w:val="single"/>
        </w:rPr>
        <w:t xml:space="preserve">any part of</w:t>
      </w:r>
      <w:r>
        <w:t xml:space="preserve"> the area and may not adopt another resolution under Section 43.0692 to annex </w:t>
      </w:r>
      <w:r>
        <w:rPr>
          <w:u w:val="single"/>
        </w:rPr>
        <w:t xml:space="preserve">any part of</w:t>
      </w:r>
      <w:r>
        <w:t xml:space="preserve"> the area until the </w:t>
      </w:r>
      <w:r>
        <w:rPr>
          <w:u w:val="single"/>
        </w:rPr>
        <w:t xml:space="preserve">fifth</w:t>
      </w:r>
      <w:r>
        <w:t xml:space="preserve"> [</w:t>
      </w:r>
      <w:r>
        <w:rPr>
          <w:strike/>
        </w:rPr>
        <w:t xml:space="preserve">first</w:t>
      </w:r>
      <w:r>
        <w:t xml:space="preserve">] anniversary of the date of the adoption of the resolution.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43.001(3), Local Government Code, is amended to read as follows:</w:t>
      </w:r>
    </w:p>
    <w:p w:rsidR="003F3435" w:rsidRDefault="0032493E">
      <w:pPr>
        <w:spacing w:line="480" w:lineRule="auto"/>
        <w:ind w:firstLine="1440"/>
        <w:jc w:val="both"/>
      </w:pPr>
      <w:r>
        <w:t xml:space="preserve">(3)</w:t>
      </w:r>
      <w:r xml:space="preserve">
        <w:t> </w:t>
      </w:r>
      <w:r xml:space="preserve">
        <w:t> </w:t>
      </w:r>
      <w:r>
        <w:t xml:space="preserve">"Tier 2 county" means a county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not a tier 1 county[</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a tier 1 county in which a majority of the registered voters of the county have approved being a tier 2 county at an election ordered by the commissioners court on the request by petition of a number of registered voters of the county equal to or greater than 10 percent of the registered voters of the county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