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751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creation of a criminal offense for fabricating a deceptive video with intent to influence the outcome of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255.004, Election Code, is amended by adding Subsections (d)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person, with intent to injure a candidate or influence the result of an election: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creates a deep fake video;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the deep fake video to be published or distributed within 30 days of an election.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"deep fake video"</w:t>
      </w:r>
      <w:r>
        <w:rPr>
          <w:u w:val="single"/>
        </w:rPr>
        <w:t xml:space="preserve"> </w:t>
      </w:r>
      <w:r>
        <w:rPr>
          <w:u w:val="single"/>
        </w:rPr>
        <w:t xml:space="preserve">means a video created with artificial intelligence that, with the intent to deceive, appears to depict a real person performing an action that did not occur in reality.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