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Lucio</w:t>
      </w:r>
      <w:r xml:space="preserve">
        <w:tab wTab="150" tlc="none" cTlc="0"/>
      </w:r>
      <w:r>
        <w:t xml:space="preserve">S.B.</w:t>
      </w:r>
      <w:r xml:space="preserve">
        <w:t> </w:t>
      </w:r>
      <w:r>
        <w:t xml:space="preserve">No.</w:t>
      </w:r>
      <w:r xml:space="preserve">
        <w:t> </w:t>
      </w:r>
      <w:r>
        <w:t xml:space="preserve">752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liability of volunteer health care providers and health care institutions for care, assistance, or advice provided in relation to a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79, Civil Practice and Remedies Code, is amended by adding Section 79.0031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79.0031.</w:t>
      </w:r>
      <w:r>
        <w:rPr>
          <w:u w:val="single"/>
        </w:rPr>
        <w:t xml:space="preserve"> </w:t>
      </w:r>
      <w:r>
        <w:rPr>
          <w:u w:val="single"/>
        </w:rPr>
        <w:t xml:space="preserve"> </w:t>
      </w:r>
      <w:r>
        <w:rPr>
          <w:u w:val="single"/>
        </w:rPr>
        <w:t xml:space="preserve">LIABILITY OF VOLUNTEER HEALTH CARE PROVIDER OR HEALTH CARE INSTITUTION. </w:t>
      </w:r>
      <w:r>
        <w:rPr>
          <w:u w:val="single"/>
        </w:rPr>
        <w:t xml:space="preserve"> </w:t>
      </w:r>
      <w:r>
        <w:rPr>
          <w:u w:val="single"/>
        </w:rPr>
        <w:t xml:space="preserve">(a)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care institution"</w:t>
      </w:r>
      <w:r>
        <w:rPr>
          <w:u w:val="single"/>
        </w:rPr>
        <w:t xml:space="preserve"> </w:t>
      </w:r>
      <w:r>
        <w:rPr>
          <w:u w:val="single"/>
        </w:rPr>
        <w:t xml:space="preserve">has the meaning assigned by Section 74.001.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"Volunteer health care provider"</w:t>
      </w:r>
      <w:r>
        <w:rPr>
          <w:u w:val="single"/>
        </w:rPr>
        <w:t xml:space="preserve"> </w:t>
      </w:r>
      <w:r>
        <w:rPr>
          <w:u w:val="single"/>
        </w:rPr>
        <w:t xml:space="preserve">has the meaning assigned by Section 84.003. </w:t>
      </w:r>
      <w:r>
        <w:rPr>
          <w:u w:val="single"/>
        </w:rPr>
        <w:t xml:space="preserve"> </w:t>
      </w:r>
      <w:r>
        <w:rPr>
          <w:u w:val="single"/>
        </w:rPr>
        <w:t xml:space="preserve">The term includes an individual who is not affiliated with a charitable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in the case of reckless conduct or intentional, wilful, or wanton misconduct, a volunteer health care provider is immune from civil liability for an act or omission that occurs in giving care, assistance, or advice if the care, assistance, or advice is provided: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relation to an incident that is a man-made or natural disaster that endangers or threatens to endanger individuals, property, or the environment;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within the scope of the provider's practice under the laws of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care institution is immune from civil liability for an act or omission by a volunteer health care provider providing care, assistance, or advice at the institution's facility or under the institution's direction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provider is immune from civil liability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institution does not have an expectation of compensation from or on behalf of the recipient of the care, assistance, or advice in excess of reimbursement for expenses incurred by the institution in connection with the provision of the care, assistance, or advice.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immunity provided by this section is in addition to any other immunity or limitations of liability provided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79.0031, Civil Practice and Remedies Code, as added by this Act, does not apply to a cause of action that accrued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