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who has an unexpired driver's license or personal identification card issued in this state to complete a voter registration application over the Internet from the official website of this state. </w:t>
      </w:r>
      <w:r>
        <w:rPr>
          <w:u w:val="single"/>
        </w:rPr>
        <w:t xml:space="preserve"> </w:t>
      </w:r>
      <w:r>
        <w:rPr>
          <w:u w:val="single"/>
        </w:rPr>
        <w:t xml:space="preserve">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information required under Section 13.002(c);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audit number and date of issuance of the applicant's Texas driver's license or personal identification card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application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 digital copy of the applicant's signature be obtained from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compare the information provided by the applicant against Department of Public Safety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information submitted by an applicant does not match Department of Public Safety records,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applicant that the application cannot be processed electronically;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applicant to print an application and submit it to the voter registrar of the county in which the applicant resides by mail or personal delivery.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information submitted by an applicant matches Department of Public Safety records, the program shall forward the application to the registrar of the county in which the applicant states that the applicant resides.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Subsection (e), the registrar shall review the application in accordance with Section 13.071.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application electronically submitted under this section is considered for all purposes as an application submitted by mail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under Subsection (h)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