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86R7799 JSC-D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Campbell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762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wages and employment benefits.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This Act shall be known as the Texas Small Business Protection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62.002, Labor Code, is amended by adding Subdivision (8)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"Wages" has the meaning assigned by Section 61.001.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Subtitle D, Title 2, Labor Code, is amended by adding Chapter 83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83.  PROHIBITION AGAINST LOCAL REGULATION OF EMPLOYMENT BENEFITS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83.001.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"Employee" means an individual who is employed by an employer for compensation.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"Employer" means a person who employs one or more employees.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"Employment benefit" means anything of value that an employee receives from an employer in addition to monetary compensation, including: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health, disability, retirement, profit-sharing, and death benefits;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group accidental death and dismemberment benefits;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paid days off from work for holidays, sick leave, vacation, and personal necessity.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83.002.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AGAINST MUNICIPALITY OR COUNTY REQUIRING EMPLOYMENT BENEFITS.  A municipality or county may not adopt or enforce an ordinance, order, rule, or regulation that requires an employer in the municipality or county to provide employment benefits.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Chapter 83, Labor Code, as added by this Act, applies to an ordinance, order, rule, or regulation adopted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762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