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86R9311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that can be established and funded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projects that reduce emissions through improvements in energy production efficiency using supercritical carbon dioxide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 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diesel emissions reduction incentive program under Subchapter C as determined by the commission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projects that reduce emissions through improvements in energy production efficiency using supercritical carbon dioxide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