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86R7876 GRM-F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S.B.</w:t>
      </w:r>
      <w:r xml:space="preserve">
        <w:t> </w:t>
      </w:r>
      <w:r>
        <w:t xml:space="preserve">No.</w:t>
      </w:r>
      <w:r xml:space="preserve">
        <w:t> </w:t>
      </w:r>
      <w:r>
        <w:t xml:space="preserve">768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Montgomery County Municipal Utility District No. 100.</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8119, Special District Local Laws Code, is amended by adding Section 8119.106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8119.106.</w:t>
      </w:r>
      <w:r>
        <w:rPr>
          <w:u w:val="single"/>
        </w:rPr>
        <w:t xml:space="preserve"> </w:t>
      </w:r>
      <w:r>
        <w:rPr>
          <w:u w:val="single"/>
        </w:rPr>
        <w:t xml:space="preserve"> </w:t>
      </w:r>
      <w:r>
        <w:rPr>
          <w:u w:val="single"/>
        </w:rPr>
        <w:t xml:space="preserve">DIVISION OF DISTRICT. </w:t>
      </w:r>
      <w:r>
        <w:rPr>
          <w:u w:val="single"/>
        </w:rPr>
        <w:t xml:space="preserve"> </w:t>
      </w:r>
      <w:r>
        <w:rPr>
          <w:u w:val="single"/>
        </w:rPr>
        <w:t xml:space="preserve">(a)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8119.023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8119.023.</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new district created by the division of the district must hold an election as required by law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