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771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agreements by architects an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A covenant or promise in, in connection with, or collateral to a construction contract other than a contract for a single family or multifamily residence is void and unenforceable if the covenant or promise provides for a registered architect or licensed engineer whose engineering or architectural design services are the subject of the construction contract to </w:t>
      </w:r>
      <w:r>
        <w:rPr>
          <w:u w:val="single"/>
        </w:rPr>
        <w:t xml:space="preserve">defend,</w:t>
      </w:r>
      <w:r>
        <w:t xml:space="preserve"> </w:t>
      </w:r>
      <w:r>
        <w:t xml:space="preserve">indemnify</w:t>
      </w:r>
      <w:r>
        <w:rPr>
          <w:u w:val="single"/>
        </w:rPr>
        <w:t xml:space="preserve">,</w:t>
      </w:r>
      <w:r>
        <w:t xml:space="preserve"> </w:t>
      </w:r>
      <w:r>
        <w:t xml:space="preserve">or hold harmless an owner or owner's agent or employee from liability for damage that is caused by or results from the negligence of an owner or an owner's agent or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130.002, Civil Practice and Remedies Code, as amended by this Act, applies only to a covenant or promise in, in connection with, or collateral to a construction contract entered into on or after the effective date of this Act. </w:t>
      </w:r>
      <w:r>
        <w:t xml:space="preserve"> </w:t>
      </w:r>
      <w:r>
        <w:t xml:space="preserve">A covenant or promise in, in connection with, or collateral to a construction contract entered into before the effective date of this Act is governed by the law applicable to the covenant or promise immediately before the effective date of this Act, and the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