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772</w:t>
      </w:r>
    </w:p>
    <w:p w:rsidR="003F3435" w:rsidRDefault="0032493E">
      <w:pPr>
        <w:ind w:firstLine="720"/>
        <w:jc w:val="both"/>
      </w:pPr>
      <w:r>
        <w:t xml:space="preserve">(Springer, Bell of Montgomery, et al.)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evidence in certain civil actions of a person's failure to forbid handguns on certain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4, Civil Practice and Remedies Code, is amended by adding Chapter 95A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95A.  ACTIONS INVOLVING THE CARRYING OF HANDGUNS ON CERTAIN PROPERTY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95A.0001.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EVIDENCE OF FAILURE TO FORBID HANDGUNS.  The fact that a card, sign, or other document described by Section 30.06(c)(3) or 30.07(c)(3), Penal Code, is not posted on the property of a business or any other evidence that a person failed to exercise the person's option to forbid the carrying of a handgun by a license holder on the property: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admissible as evidence in a trial on the merits in an action: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against a person, including a business or other entity, who owns, controls, or manages the property;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which the cause of action arises from an injury sustained on the property;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support a cause of action described by Subdivision (1) against a person described by that subdivision.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95A, Civil Practice and Remedies Code, as added by this Act, does not apply to a cause of action that accrued before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