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86R5768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774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for taxable entities offering postsecondary tuition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TAX CREDIT FOR TAXABLE ENTITIES THAT PROVIDE TUITION</w:t>
      </w:r>
      <w:r>
        <w:rPr>
          <w:u w:val="single"/>
        </w:rPr>
        <w:t xml:space="preserve"> </w:t>
      </w:r>
      <w:r>
        <w:rPr>
          <w:u w:val="single"/>
        </w:rPr>
        <w:t xml:space="preserve">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171.551.</w:t>
      </w:r>
      <w:r>
        <w:rPr>
          <w:u w:val="single"/>
        </w:rPr>
        <w:t xml:space="preserve"> </w:t>
      </w:r>
      <w:r>
        <w:rPr>
          <w:u w:val="single"/>
        </w:rPr>
        <w:t xml:space="preserve"> </w:t>
      </w:r>
      <w:r>
        <w:rPr>
          <w:u w:val="single"/>
        </w:rPr>
        <w:t xml:space="preserve">DEFINITION.  In this subchapter, "postsecondary educational institution" means any public or private institution that provides courses of instruction beyond that offered in secondary schools, including proprietary, vocational, and technical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171.552.</w:t>
      </w:r>
      <w:r>
        <w:rPr>
          <w:u w:val="single"/>
        </w:rPr>
        <w:t xml:space="preserve"> </w:t>
      </w:r>
      <w:r>
        <w:rPr>
          <w:u w:val="single"/>
        </w:rPr>
        <w:t xml:space="preserve"> </w:t>
      </w:r>
      <w:r>
        <w:rPr>
          <w:u w:val="single"/>
        </w:rPr>
        <w:t xml:space="preserve">ELIGIBILITY FOR CREDIT.  A taxable entity is entitled to a credit in the amount and under the conditions and limitations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171.553.</w:t>
      </w:r>
      <w:r>
        <w:rPr>
          <w:u w:val="single"/>
        </w:rPr>
        <w:t xml:space="preserve"> </w:t>
      </w:r>
      <w:r>
        <w:rPr>
          <w:u w:val="single"/>
        </w:rPr>
        <w:t xml:space="preserve"> </w:t>
      </w:r>
      <w:r>
        <w:rPr>
          <w:u w:val="single"/>
        </w:rPr>
        <w:t xml:space="preserve">QUALIFICATION.  A taxable entity qualifies for a credit under this subchapter if the taxable entity provides tuition assistance for an employee attending a postsecondary educational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171.554.</w:t>
      </w:r>
      <w:r>
        <w:rPr>
          <w:u w:val="single"/>
        </w:rPr>
        <w:t xml:space="preserve"> </w:t>
      </w:r>
      <w:r>
        <w:rPr>
          <w:u w:val="single"/>
        </w:rPr>
        <w:t xml:space="preserve"> </w:t>
      </w:r>
      <w:r>
        <w:rPr>
          <w:u w:val="single"/>
        </w:rPr>
        <w:t xml:space="preserve">AMOUNT; LIMITATION. </w:t>
      </w:r>
      <w:r>
        <w:rPr>
          <w:u w:val="single"/>
        </w:rPr>
        <w:t xml:space="preserve"> </w:t>
      </w:r>
      <w:r>
        <w:rPr>
          <w:u w:val="single"/>
        </w:rPr>
        <w:t xml:space="preserve">(a) </w:t>
      </w:r>
      <w:r>
        <w:rPr>
          <w:u w:val="single"/>
        </w:rPr>
        <w:t xml:space="preserve"> </w:t>
      </w:r>
      <w:r>
        <w:rPr>
          <w:u w:val="single"/>
        </w:rPr>
        <w:t xml:space="preserve">The amount of the credit for a period is equal to the lesser of the amount of tuition assistance provided to all employees during the period and the amount of franchise tax due for the report after all other applicable tax credits.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taxable entity may claim a credit under this subchapter for an expenditure made during a reporting period only against the tax owed for the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171.555.</w:t>
      </w:r>
      <w:r>
        <w:rPr>
          <w:u w:val="single"/>
        </w:rPr>
        <w:t xml:space="preserve"> </w:t>
      </w:r>
      <w:r>
        <w:rPr>
          <w:u w:val="single"/>
        </w:rPr>
        <w:t xml:space="preserve"> </w:t>
      </w:r>
      <w:r>
        <w:rPr>
          <w:u w:val="single"/>
        </w:rPr>
        <w:t xml:space="preserve">APPLICATION FOR CREDIT.  (a)  A taxable entity must apply for a credit under this subchapter on or with the tax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a form for the application for the credit.  A taxable entity must use the form in applying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171.556.</w:t>
      </w:r>
      <w:r>
        <w:rPr>
          <w:u w:val="single"/>
        </w:rPr>
        <w:t xml:space="preserve"> </w:t>
      </w:r>
      <w:r>
        <w:rPr>
          <w:u w:val="single"/>
        </w:rPr>
        <w:t xml:space="preserve"> </w:t>
      </w:r>
      <w:r>
        <w:rPr>
          <w:u w:val="single"/>
        </w:rPr>
        <w:t xml:space="preserve">ASSIGNMENT PROHIBITED.  A taxable entity may not convey, assign, or transfer the credit allowed under this subchapter to another taxable entity unless all of the assets of the taxable entity are conveyed, assigned, or transferred in the same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171.557.</w:t>
      </w:r>
      <w:r>
        <w:rPr>
          <w:u w:val="single"/>
        </w:rPr>
        <w:t xml:space="preserve"> </w:t>
      </w:r>
      <w:r>
        <w:rPr>
          <w:u w:val="single"/>
        </w:rPr>
        <w:t xml:space="preserve"> </w:t>
      </w:r>
      <w:r>
        <w:rPr>
          <w:u w:val="single"/>
        </w:rPr>
        <w:t xml:space="preserve">RULES.  The comptroller shall adopt rules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