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86R6179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purchase of necessary real property for the construction of a high-speed rail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112, Transportation Code, is amended by adding Section 112.0571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112.0571.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CONSTRUCTION OF HIGH-SPEED RAIL.  (a)  In this section, "high-speed rail" has the meaning assigned by Section 112.201.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private entity may not begin construction of a high-speed rail project unless the department has determined that the entity has acquired all real property necessary for the construction of the project.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