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86R11187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law enforcement policy regarding a peace officer accessing a recording from the officer's body worn camera.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1701.655(b),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policy described by Subsection (a) must ensure that a body worn camera is activated only for a law enforcement purpose and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guidelines for when a peace officer should activate a camera or discontinue a recording currently in progress, considering the need for privacy in certain situations and at certain locations;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provisions relating to data retention, including a provision requiring the retention of video for a minimum period of 90 days;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provisions relating to storage of video and audio, creation of backup copies of the video and audio, and maintenance of data security;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guidelines for public access, through open records requests, to recordings that are public information;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provisions entitling an officer to access</w:t>
      </w:r>
      <w:r>
        <w:rPr>
          <w:u w:val="single"/>
        </w:rPr>
        <w:t xml:space="preserve">, before the officer is required to make any statement about the incident, a</w:t>
      </w:r>
      <w:r>
        <w:t xml:space="preserve"> </w:t>
      </w:r>
      <w:r>
        <w:t xml:space="preserve">[</w:t>
      </w:r>
      <w:r>
        <w:rPr>
          <w:strike/>
        </w:rPr>
        <w:t xml:space="preserve">any</w:t>
      </w:r>
      <w:r>
        <w:t xml:space="preserve">] recording of an incident involving the officer </w:t>
      </w:r>
      <w:r>
        <w:rPr>
          <w:u w:val="single"/>
        </w:rPr>
        <w:t xml:space="preserve">and made with the officer's camera</w:t>
      </w:r>
      <w:r>
        <w:t xml:space="preserve"> </w:t>
      </w:r>
      <w:r>
        <w:t xml:space="preserve">[</w:t>
      </w:r>
      <w:r>
        <w:rPr>
          <w:strike/>
        </w:rPr>
        <w:t xml:space="preserve">before the officer is required to make a statement about the incident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procedures for supervisory or internal review;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handling and documenting of equipment and malfunctions of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each law enforcement agency in this state required to adopt a policy under Section 1701.655, Occupations Code, as amended by this Act, shall update that policy to reflect the change in law made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