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86R7715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license renewal applications for certain family residential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42.0505.</w:t>
      </w:r>
      <w:r>
        <w:rPr>
          <w:u w:val="single"/>
        </w:rPr>
        <w:t xml:space="preserve"> </w:t>
      </w:r>
      <w:r>
        <w:rPr>
          <w:u w:val="single"/>
        </w:rPr>
        <w:t xml:space="preserve"> </w:t>
      </w:r>
      <w:r>
        <w:rPr>
          <w:u w:val="single"/>
        </w:rPr>
        <w:t xml:space="preserve">DENIAL OF CERTAIN APPLICATIONS FOR LICENSE RENEWAL.  (a)  This section applies only to a child-care facility licensed under this chapter that is a family residential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operated by or under a contract with United States Immigration and Customs Enforcement to enforce federal immigration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each child at the center is detained with a parent or other adult family member who remains at the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 parent or family member of a child provides the direct care for the child except for specific circumstances when the child is cared for directly by the center or another adult in the custody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renewal of a family residential center license if the license holder is under investigation by a state agency of another state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