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799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business advisory council to provide advice on economic recovery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BUSINESS ADVISORY COUNCIL.  (a)</w:t>
      </w:r>
      <w:r>
        <w:rPr>
          <w:u w:val="single"/>
        </w:rPr>
        <w:t xml:space="preserve"> </w:t>
      </w:r>
      <w:r>
        <w:rPr>
          <w:u w:val="single"/>
        </w:rPr>
        <w:t xml:space="preserve"> </w:t>
      </w:r>
      <w:r>
        <w:rPr>
          <w:u w:val="single"/>
        </w:rPr>
        <w:t xml:space="preserve">In this section, "advisory council" means the business advisory council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advisory council is established to provide advice and expertise on actions state and local governments can take to assist businesses in recovering from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12 members who represent business in this state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staggered four-year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council member is not entitled to compensation but is entitled to reimbursement for travel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council members shall elect a presiding officer from among the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division on policies, rules, and program operations to assist businesses in recovering from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division on the state resources and services needed to assist businesses in recovering from a catastrophic loss of electric power;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 solutions to address inefficiencies or problems in the state or local governmental disaster response with respect to impact on businesses and the economy.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the times and locations determined by the presiding officer, not to exceed four meetings each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each even-numbered year, the advisory council shall submit a report on the advisory council's activities, advice, and proposed solutions to the division, the governor, the lieutenant governor, and the speaker of the house of representatives.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division shall provide administrative support to the advisory council.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Chapter 2110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lieutenant governor, and speaker of the house of representatives shall appoint members to the business advisory council, as required by Section 418.054, Government Code, as added by this Act, as follows:</w:t>
      </w:r>
    </w:p>
    <w:p w:rsidR="003F3435" w:rsidRDefault="0032493E">
      <w:pPr>
        <w:spacing w:line="480" w:lineRule="auto"/>
        <w:ind w:firstLine="1440"/>
        <w:jc w:val="both"/>
      </w:pPr>
      <w:r>
        <w:t xml:space="preserve">(1)</w:t>
      </w:r>
      <w:r xml:space="preserve">
        <w:t> </w:t>
      </w:r>
      <w:r xml:space="preserve">
        <w:t> </w:t>
      </w:r>
      <w:r>
        <w:t xml:space="preserve">the governor shall appoint two members to terms expiring February 1, 2021, one member to a term expiring February 1, 2022, and one member to a term expiring February 1, 2023;</w:t>
      </w:r>
    </w:p>
    <w:p w:rsidR="003F3435" w:rsidRDefault="0032493E">
      <w:pPr>
        <w:spacing w:line="480" w:lineRule="auto"/>
        <w:ind w:firstLine="1440"/>
        <w:jc w:val="both"/>
      </w:pPr>
      <w:r>
        <w:t xml:space="preserve">(2)</w:t>
      </w:r>
      <w:r xml:space="preserve">
        <w:t> </w:t>
      </w:r>
      <w:r xml:space="preserve">
        <w:t> </w:t>
      </w:r>
      <w:r>
        <w:t xml:space="preserve">the lieutenant governor shall appoint one member to a term expiring February 1, 2021, two members to terms expiring February 1, 2022, and one member to a term expiring February 1, 2023;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 shall appoint one member to a term expiring February 1, 2021, one member to a term expiring February 1, 2022, and two members to terms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