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86R8391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802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notice and license display requirements applicable to massage therapy.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455.204,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license of a massage therapist that is posted under Subsection (b) must have a photograph of the massage therapist attached to the front of the license.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455, Occupations Code, is amended by adding Section 455.207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455.207.</w:t>
      </w:r>
      <w:r>
        <w:rPr>
          <w:u w:val="single"/>
        </w:rPr>
        <w:t xml:space="preserve"> </w:t>
      </w:r>
      <w:r>
        <w:rPr>
          <w:u w:val="single"/>
        </w:rPr>
        <w:t xml:space="preserve"> </w:t>
      </w:r>
      <w:r>
        <w:rPr>
          <w:u w:val="single"/>
        </w:rPr>
        <w:t xml:space="preserve">POSTING OF CERTAIN NOTICES REQUIRED.  (a) </w:t>
      </w:r>
      <w:r>
        <w:rPr>
          <w:u w:val="single"/>
        </w:rPr>
        <w:t xml:space="preserve"> </w:t>
      </w:r>
      <w:r>
        <w:rPr>
          <w:u w:val="single"/>
        </w:rPr>
        <w:t xml:space="preserve">Each massage establishment and massage school shall display in the form and manner prescribed by the commission a sign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Korean, Mandarin, and any other language required by commission rule;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displayed in a conspicuous place clearly visible to the public.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November 1, 2019, the Texas Commission of Licensing and Regulation shall adopt rules necessary to implement the changes in law made by this Act to Chapter 455, Occupations Code. </w:t>
      </w:r>
      <w:r>
        <w:t xml:space="preserve"> </w:t>
      </w:r>
      <w:r>
        <w:t xml:space="preserve">The commission may adopt the rules in the manner provided by law for emergency rules under Chapter 2001,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Each massage establishment and massage school, as those terms are defined by Section 455.001, Occupations Code, shall comply with Sections 455.204(b-1) and 455.207, Occupations Code, as added by this Act, as applicable, not later than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