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803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written assessment regarding a defendant suspected of having a mental illness or an intellectual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16.22, Code of Criminal Procedure, is amended by amending Subsection (b-1) and adding Subsection (b-2) to read as follows:</w:t>
      </w:r>
    </w:p>
    <w:p w:rsidR="003F3435" w:rsidRDefault="0032493E">
      <w:pPr>
        <w:spacing w:line="480" w:lineRule="auto"/>
        <w:ind w:firstLine="720"/>
        <w:jc w:val="both"/>
      </w:pPr>
      <w:r>
        <w:t xml:space="preserve">(b-1)</w:t>
      </w:r>
      <w:r xml:space="preserve">
        <w:t> </w:t>
      </w:r>
      <w:r xml:space="preserve">
        <w:t> </w:t>
      </w:r>
      <w:r>
        <w:t xml:space="preserve">The magistrate shall provide copies of the written assessment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defense counsel</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the attorney representing the state</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and</w:t>
      </w:r>
      <w:r>
        <w:t xml:space="preserve">] the trial court</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sheriff or other person responsible for the defendant's medical records while the defendant is confined in county jail;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personal bond office established under Article 17.42 for the county in which the defendant is being confined;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director of the office or department that is responsible for supervising the defendant while the defendant is released on bail and receiving mental health or intellectual disability services as a condition of bail</w:t>
      </w:r>
      <w:r>
        <w:t xml:space="preserve">.</w:t>
      </w:r>
    </w:p>
    <w:p w:rsidR="003F3435" w:rsidRDefault="0032493E">
      <w:pPr>
        <w:spacing w:line="480" w:lineRule="auto"/>
        <w:ind w:firstLine="720"/>
        <w:jc w:val="both"/>
      </w:pPr>
      <w:r>
        <w:rPr>
          <w:u w:val="single"/>
        </w:rPr>
        <w:t xml:space="preserve">(b-2)</w:t>
      </w:r>
      <w:r xml:space="preserve">
        <w:t> </w:t>
      </w:r>
      <w:r xml:space="preserve">
        <w:t> </w:t>
      </w:r>
      <w:r>
        <w:t xml:space="preserve">The written assessment must include a description of the procedures used in the collection of information under Subsection (a)(1)(A) and the applicable expert's observations and findings pertaining to:</w:t>
      </w:r>
    </w:p>
    <w:p w:rsidR="003F3435" w:rsidRDefault="0032493E">
      <w:pPr>
        <w:spacing w:line="480" w:lineRule="auto"/>
        <w:ind w:firstLine="1440"/>
        <w:jc w:val="both"/>
      </w:pPr>
      <w:r>
        <w:t xml:space="preserve">(1)</w:t>
      </w:r>
      <w:r xml:space="preserve">
        <w:t> </w:t>
      </w:r>
      <w:r xml:space="preserve">
        <w:t> </w:t>
      </w:r>
      <w:r>
        <w:t xml:space="preserve">whether the defendant is a person who has a mental illness or is a person with an intellectual disability;</w:t>
      </w:r>
    </w:p>
    <w:p w:rsidR="003F3435" w:rsidRDefault="0032493E">
      <w:pPr>
        <w:spacing w:line="480" w:lineRule="auto"/>
        <w:ind w:firstLine="1440"/>
        <w:jc w:val="both"/>
      </w:pPr>
      <w:r>
        <w:t xml:space="preserve">(2)</w:t>
      </w:r>
      <w:r xml:space="preserve">
        <w:t> </w:t>
      </w:r>
      <w:r xml:space="preserve">
        <w:t> </w:t>
      </w:r>
      <w:r>
        <w:t xml:space="preserve">whether there is clinical evidence to support a belief that the defendant may be incompetent to stand trial and should undergo a complete competency examination under Subchapter B, Chapter 46B; and</w:t>
      </w:r>
    </w:p>
    <w:p w:rsidR="003F3435" w:rsidRDefault="0032493E">
      <w:pPr>
        <w:spacing w:line="480" w:lineRule="auto"/>
        <w:ind w:firstLine="1440"/>
        <w:jc w:val="both"/>
      </w:pPr>
      <w:r>
        <w:t xml:space="preserve">(3)</w:t>
      </w:r>
      <w:r xml:space="preserve">
        <w:t> </w:t>
      </w:r>
      <w:r xml:space="preserve">
        <w:t> </w:t>
      </w:r>
      <w:r>
        <w:t xml:space="preserve">any appropriate or recommended treatment or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