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804</w:t>
      </w:r>
    </w:p>
    <w:p w:rsidR="003F3435" w:rsidRDefault="0032493E">
      <w:pPr>
        <w:ind w:firstLine="720"/>
        <w:jc w:val="both"/>
      </w:pPr>
      <w:r>
        <w:t xml:space="preserve">(Lucio III)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conditions of community supervision for defendants convicted of certain criminal offenses involving animals.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42A.511(b), Code of Criminal Procedure, as added by Chapter 739 (S.B. 1232), Acts of the 85th Legislature, Regular Session,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 judge grants community supervision to a defendant convicted of an offense under Section 21.09, </w:t>
      </w:r>
      <w:r>
        <w:rPr>
          <w:u w:val="single"/>
        </w:rPr>
        <w:t xml:space="preserve">42.091, 42.092, 42.10, or 42.105,</w:t>
      </w:r>
      <w:r>
        <w:t xml:space="preserve"> </w:t>
      </w:r>
      <w:r>
        <w:t xml:space="preserve">Penal Code, the judge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the defendant to relinquish custody of any animals in the defendant's possession;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prohibit the defendant from possessing or exercising control over any animals or residing in a household where animals are present;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require the defendant to participate in a psychological counseling or other appropriate treatment program for a period to be determined by the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