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804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conditions of community supervision for defendants convicted of certain criminal offenses involving animals.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42A.511,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Art.</w:t>
      </w:r>
      <w:r xml:space="preserve">
        <w:t> </w:t>
      </w:r>
      <w:r>
        <w:t xml:space="preserve">42A.511.</w:t>
      </w:r>
      <w:r xml:space="preserve">
        <w:t> </w:t>
      </w:r>
      <w:r xml:space="preserve">
        <w:t> </w:t>
      </w:r>
      <w:r>
        <w:t xml:space="preserve">COMMUNITY SUPERVISION FOR CERTAIN OFFENSES INVOLVING ANIMALS. </w:t>
      </w:r>
      <w:r>
        <w:t xml:space="preserve"> </w:t>
      </w:r>
      <w:r>
        <w:t xml:space="preserve">If a judge grants community supervision to a defendant convicted of an offense under Section 21.09, </w:t>
      </w:r>
      <w:r>
        <w:rPr>
          <w:u w:val="single"/>
        </w:rPr>
        <w:t xml:space="preserve">42.09, 42.091, 42.092, 42.10, or 42.105,</w:t>
      </w:r>
      <w:r>
        <w:t xml:space="preserve"> </w:t>
      </w:r>
      <w:r>
        <w:t xml:space="preserve">Penal Code, the judge may: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the defendant to relinquish custody of any animals in the defendant's possession;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prohibit the defendant from possessing or exercising control over any animals or residing in a household where animals are present;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 the defendant to participate in a psychological counseling or other appropriate treatment program for a period to be determined by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