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86R7311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eligibility to serve as an interpreter in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61.032,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61.032.</w:t>
      </w:r>
      <w:r xml:space="preserve">
        <w:t> </w:t>
      </w:r>
      <w:r xml:space="preserve">
        <w:t> </w:t>
      </w:r>
      <w:r>
        <w:t xml:space="preserve">INTERPRETER PERMITTED. </w:t>
      </w:r>
      <w:r>
        <w:t xml:space="preserve"> </w:t>
      </w:r>
      <w:r>
        <w:t xml:space="preserve">If an election officer who attempts to communicate with a voter does not understand the language used by the voter, the voter may communicate through an interpreter selected by the voter </w:t>
      </w:r>
      <w:r>
        <w:rPr>
          <w:u w:val="single"/>
        </w:rPr>
        <w:t xml:space="preserve">or, if the voter has not selected an interpreter, an interpreter appointed by an election officer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61.033,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61.033.</w:t>
      </w:r>
      <w:r xml:space="preserve">
        <w:t> </w:t>
      </w:r>
      <w:r xml:space="preserve">
        <w:t> </w:t>
      </w:r>
      <w:r>
        <w:t xml:space="preserve">ELIGIBILITY TO SERVE AS INTERPRETER.  To be eligible to serve as an interpreter, a person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selected by the voter, may be any person other than the voter's employer, an agent of the voter's employer, or an officer or agent of a labor union to which the voter belongs;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appointed to serve as an interpreter by an election officer,</w:t>
      </w:r>
      <w:r>
        <w:t xml:space="preserve"> must be a registered voter of the county in which the voter needing the interpreter resides </w:t>
      </w:r>
      <w:r>
        <w:rPr>
          <w:u w:val="single"/>
        </w:rPr>
        <w:t xml:space="preserve">or a registered voter of an adjacent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