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808</w:t>
      </w:r>
    </w:p>
    <w:p w:rsidR="003F3435" w:rsidRDefault="0032493E">
      <w:pPr>
        <w:ind w:firstLine="720"/>
        <w:jc w:val="both"/>
      </w:pPr>
      <w:r>
        <w:t xml:space="preserve">(Clardy)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manager-at-risk method of contracting for governmental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construction manager-at-risk shall publicly advertise for bids or proposals and receive bids or proposals from trade contractors or subcontractors for the performance of all major elements of the work other than the minor work that may be included in the general conditions. </w:t>
      </w:r>
      <w:r>
        <w:t xml:space="preserve"> </w:t>
      </w:r>
      <w:r>
        <w:rPr>
          <w:u w:val="single"/>
        </w:rPr>
        <w:t xml:space="preserve">Except as otherwise provided by this subchapter, a construction manager-at-risk shall use the competitive bidding method or competitive sealed proposal method to consider a contract with a trade contractor or subcontractor in the manner required by this chapter for a governmental entity to consider a contract with a contractor. </w:t>
      </w:r>
      <w:r>
        <w:rPr>
          <w:u w:val="single"/>
        </w:rPr>
        <w:t xml:space="preserve"> </w:t>
      </w:r>
      <w:r>
        <w:rPr>
          <w:u w:val="single"/>
        </w:rPr>
        <w:t xml:space="preserve">If a construction manager-at-risk uses the competitive sealed proposal method to consider a contract with a trade contractor or subcontractor: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price must be one of the selection criteria;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weighted value of price as a selection criterion must be 40 percent or more of the total weighted value of all of the selection criteria.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2269.256(a),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w:t>
      </w:r>
      <w:r>
        <w:t xml:space="preserve"> </w:t>
      </w:r>
      <w:r>
        <w:t xml:space="preserve">All bids or proposals shall be made available to the governmental entity [</w:t>
      </w:r>
      <w:r>
        <w:rPr>
          <w:strike/>
        </w:rPr>
        <w:t xml:space="preserve">on request</w:t>
      </w:r>
      <w:r>
        <w:t xml:space="preserve">] and to the public </w:t>
      </w:r>
      <w:r>
        <w:rPr>
          <w:u w:val="single"/>
        </w:rPr>
        <w:t xml:space="preserve">not later than the seventh day</w:t>
      </w:r>
      <w:r>
        <w:t xml:space="preserve"> after the later of the award of the contract or [</w:t>
      </w:r>
      <w:r>
        <w:rPr>
          <w:strike/>
        </w:rPr>
        <w:t xml:space="preserve">the seventh day after</w:t>
      </w:r>
      <w:r>
        <w:t xml:space="preserve">] the date of final selection of bids or proposals.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2269.255(a) and 2269.256(a), Government Code, as amended by this Act, apply only in relation to a contract for which a construction manager-at-risk first advertises bids or proposals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