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86R8079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immunity from liability of a school district or open-enrollment charter school for certain actions of security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37.088.</w:t>
      </w:r>
      <w:r>
        <w:rPr>
          <w:u w:val="single"/>
        </w:rPr>
        <w:t xml:space="preserve"> </w:t>
      </w:r>
      <w:r>
        <w:rPr>
          <w:u w:val="single"/>
        </w:rPr>
        <w:t xml:space="preserve"> </w:t>
      </w:r>
      <w:r>
        <w:rPr>
          <w:u w:val="single"/>
        </w:rPr>
        <w:t xml:space="preserve">IMMUNITY FROM LIABILITY.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"Retired peace officer" has the meaning assigned by Section 1701.3161,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"Security personnel"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school district peace officer;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marshal;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school resource officer;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retired peace officer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hired by a school district or open-enrollment charter school to provide security services;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volunteers to provide security services to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is immune from liability for any damages resulting from any reasonable action taken by security personnel to maintain the safety of the school campus, including action relating to possession or use of a firearm.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is immune from liability as provided by Subsection (b) for any damages resulting from any reasonable action taken by a district or school employee who has written permission from the board of trustees of the district or the governing body of the school to carry a firearm on campus.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statutory immunity provided by this section is in addition to and does not preempt the common law doctrine of official and governmental immunity.  To the extent that another statute provides greater immunity to a school district or open-enrollment charter school than this section, that statute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