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preservation of certain records of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The magistrate shall also inform the person arrested of the person's right to request the appointment of counsel if the person cannot afford counsel. The magistrate shall inform the person arrested of the procedures for requesting appointment of counsel. If the person does not speak and understand the English language or is deaf, the magistrate shall inform the person in a manner consistent with Articles 38.30 and 38.31, as appropriate. The magistrate shall ensure that reasonable assistance in completing the necessary forms for requesting appointment of counsel is provided to the person at the same time. If the person arrested is indigent and requests appointment of counsel and if the magistrate is authorized under Article 26.04 to appoint counsel for indigent defendants in the county, the magistrate shall appoint counsel in accordance with Article 1.051. 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The magistrate shall also inform the person arrested that he is not required to make a statement and that any statement made by him may be used against him. The magistrate shall allow the person arrested reasonable time and opportunity to consult counsel and shall, after determining whether the person is currently on bail for a separate criminal offense, admit the person arrested to bail if allowed by law. A record of the communication between the arrested person and the magistrate shall be made. [</w:t>
      </w:r>
      <w:r>
        <w:rPr>
          <w:strike/>
        </w:rPr>
        <w:t xml:space="preserve">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w:t>
      </w:r>
      <w:r>
        <w:t xml:space="preserve">] 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rPr>
          <w:u w:val="single"/>
        </w:rPr>
        <w:t xml:space="preserve">The record must be retained in compliance with the applicable records retention schedule prepared by the director and librarian of the Texas State Library and Archives Commission under Section 441.158, Government Code.</w:t>
      </w:r>
      <w:r>
        <w:t xml:space="preserve"> 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27.18, Code of Criminal Procedure,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A defendant who is confined in a county other than the county in which charges against the defendant are pending may use the videoconference method provided by this article [</w:t>
      </w:r>
      <w:r>
        <w:rPr>
          <w:strike/>
        </w:rPr>
        <w:t xml:space="preserve">or by Article 15.17</w:t>
      </w:r>
      <w:r>
        <w:t xml:space="preserve">] to enter a plea or waive a right in the court with jurisdiction over the case.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article,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