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86R8558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817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information required to be provided by a payor of the proceeds derived from the sale of oil or gas production to a royalty interest owner.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91.502, Natural Resources Code, is amended to read as follows:</w:t>
      </w:r>
    </w:p>
    <w:p w:rsidR="003F3435" w:rsidRDefault="0032493E">
      <w:pPr>
        <w:spacing w:line="480" w:lineRule="auto"/>
        <w:ind w:firstLine="720"/>
        <w:jc w:val="both"/>
      </w:pPr>
      <w:r>
        <w:t xml:space="preserve">Sec.</w:t>
      </w:r>
      <w:r xml:space="preserve">
        <w:t> </w:t>
      </w:r>
      <w:r>
        <w:t xml:space="preserve">91.502.</w:t>
      </w:r>
      <w:r xml:space="preserve">
        <w:t> </w:t>
      </w:r>
      <w:r xml:space="preserve">
        <w:t> </w:t>
      </w:r>
      <w:r>
        <w:t xml:space="preserve">TYPES OF INFORMATION PROVIDED.  Each check stub, attachment to a payment form, or other remittance advice must include:</w:t>
      </w:r>
    </w:p>
    <w:p w:rsidR="003F3435" w:rsidRDefault="0032493E">
      <w:pPr>
        <w:spacing w:line="480" w:lineRule="auto"/>
        <w:ind w:firstLine="1440"/>
        <w:jc w:val="both"/>
      </w:pPr>
      <w:r>
        <w:t xml:space="preserve">(1)</w:t>
      </w:r>
      <w:r xml:space="preserve">
        <w:t> </w:t>
      </w:r>
      <w:r xml:space="preserve">
        <w:t> </w:t>
      </w:r>
      <w:r>
        <w:t xml:space="preserve">the lease, property, or well name, any lease, property, or well identification number used to identify the lease, property, or well, and a county and state in which the lease, property, or well is located;</w:t>
      </w:r>
    </w:p>
    <w:p w:rsidR="003F3435" w:rsidRDefault="0032493E">
      <w:pPr>
        <w:spacing w:line="480" w:lineRule="auto"/>
        <w:ind w:firstLine="1440"/>
        <w:jc w:val="both"/>
      </w:pPr>
      <w:r>
        <w:t xml:space="preserve">(2)</w:t>
      </w:r>
      <w:r xml:space="preserve">
        <w:t> </w:t>
      </w:r>
      <w:r xml:space="preserve">
        <w:t> </w:t>
      </w:r>
      <w:r>
        <w:t xml:space="preserve">the month and year during which the sales occurred for which payment is being made;</w:t>
      </w:r>
    </w:p>
    <w:p w:rsidR="003F3435" w:rsidRDefault="0032493E">
      <w:pPr>
        <w:spacing w:line="480" w:lineRule="auto"/>
        <w:ind w:firstLine="1440"/>
        <w:jc w:val="both"/>
      </w:pPr>
      <w:r>
        <w:t xml:space="preserve">(3)</w:t>
      </w:r>
      <w:r xml:space="preserve">
        <w:t> </w:t>
      </w:r>
      <w:r xml:space="preserve">
        <w:t> </w:t>
      </w:r>
      <w:r>
        <w:t xml:space="preserve">the total number of barrels of oil or the total amount of gas sold;</w:t>
      </w:r>
    </w:p>
    <w:p w:rsidR="003F3435" w:rsidRDefault="0032493E">
      <w:pPr>
        <w:spacing w:line="480" w:lineRule="auto"/>
        <w:ind w:firstLine="1440"/>
        <w:jc w:val="both"/>
      </w:pPr>
      <w:r>
        <w:t xml:space="preserve">(4)</w:t>
      </w:r>
      <w:r xml:space="preserve">
        <w:t> </w:t>
      </w:r>
      <w:r xml:space="preserve">
        <w:t> </w:t>
      </w:r>
      <w:r>
        <w:t xml:space="preserve">the price per barrel or per MCF of oil or gas sold;</w:t>
      </w:r>
    </w:p>
    <w:p w:rsidR="003F3435" w:rsidRDefault="0032493E">
      <w:pPr>
        <w:spacing w:line="480" w:lineRule="auto"/>
        <w:ind w:firstLine="1440"/>
        <w:jc w:val="both"/>
      </w:pPr>
      <w:r>
        <w:rPr>
          <w:u w:val="single"/>
        </w:rPr>
        <w:t xml:space="preserve">(4-a) the Btu factor for gas sold;</w:t>
      </w:r>
    </w:p>
    <w:p w:rsidR="003F3435" w:rsidRDefault="0032493E">
      <w:pPr>
        <w:spacing w:line="480" w:lineRule="auto"/>
        <w:ind w:firstLine="1440"/>
        <w:jc w:val="both"/>
      </w:pPr>
      <w:r>
        <w:t xml:space="preserve">(5)</w:t>
      </w:r>
      <w:r xml:space="preserve">
        <w:t> </w:t>
      </w:r>
      <w:r xml:space="preserve">
        <w:t> </w:t>
      </w:r>
      <w:r>
        <w:t xml:space="preserve">the total amount of state severance and other production taxes paid;</w:t>
      </w:r>
    </w:p>
    <w:p w:rsidR="003F3435" w:rsidRDefault="0032493E">
      <w:pPr>
        <w:spacing w:line="480" w:lineRule="auto"/>
        <w:ind w:firstLine="1440"/>
        <w:jc w:val="both"/>
      </w:pPr>
      <w:r>
        <w:t xml:space="preserve">(6)</w:t>
      </w:r>
      <w:r xml:space="preserve">
        <w:t> </w:t>
      </w:r>
      <w:r xml:space="preserve">
        <w:t> </w:t>
      </w:r>
      <w:r>
        <w:t xml:space="preserve">the windfall profit tax paid on the owner's interest;</w:t>
      </w:r>
    </w:p>
    <w:p w:rsidR="003F3435" w:rsidRDefault="0032493E">
      <w:pPr>
        <w:spacing w:line="480" w:lineRule="auto"/>
        <w:ind w:firstLine="1440"/>
        <w:jc w:val="both"/>
      </w:pPr>
      <w:r>
        <w:t xml:space="preserve">(7)</w:t>
      </w:r>
      <w:r xml:space="preserve">
        <w:t> </w:t>
      </w:r>
      <w:r xml:space="preserve">
        <w:t> </w:t>
      </w:r>
      <w:r>
        <w:t xml:space="preserve">any other deductions or adjustments;</w:t>
      </w:r>
    </w:p>
    <w:p w:rsidR="003F3435" w:rsidRDefault="0032493E">
      <w:pPr>
        <w:spacing w:line="480" w:lineRule="auto"/>
        <w:ind w:firstLine="1440"/>
        <w:jc w:val="both"/>
      </w:pPr>
      <w:r>
        <w:t xml:space="preserve">(8)</w:t>
      </w:r>
      <w:r xml:space="preserve">
        <w:t> </w:t>
      </w:r>
      <w:r xml:space="preserve">
        <w:t> </w:t>
      </w:r>
      <w:r>
        <w:t xml:space="preserve">the net value of total sales after deductions;</w:t>
      </w:r>
    </w:p>
    <w:p w:rsidR="003F3435" w:rsidRDefault="0032493E">
      <w:pPr>
        <w:spacing w:line="480" w:lineRule="auto"/>
        <w:ind w:firstLine="1440"/>
        <w:jc w:val="both"/>
      </w:pPr>
      <w:r>
        <w:t xml:space="preserve">(9)</w:t>
      </w:r>
      <w:r xml:space="preserve">
        <w:t> </w:t>
      </w:r>
      <w:r xml:space="preserve">
        <w:t> </w:t>
      </w:r>
      <w:r>
        <w:t xml:space="preserve">the owner's interest in sales from the lease, property, or well expressed as a decimal;</w:t>
      </w:r>
    </w:p>
    <w:p w:rsidR="003F3435" w:rsidRDefault="0032493E">
      <w:pPr>
        <w:spacing w:line="480" w:lineRule="auto"/>
        <w:ind w:firstLine="1440"/>
        <w:jc w:val="both"/>
      </w:pPr>
      <w:r>
        <w:t xml:space="preserve">(10)</w:t>
      </w:r>
      <w:r xml:space="preserve">
        <w:t> </w:t>
      </w:r>
      <w:r xml:space="preserve">
        <w:t> </w:t>
      </w:r>
      <w:r>
        <w:t xml:space="preserve">the owner's share of the total value of sales before any tax deductions;</w:t>
      </w:r>
    </w:p>
    <w:p w:rsidR="003F3435" w:rsidRDefault="0032493E">
      <w:pPr>
        <w:spacing w:line="480" w:lineRule="auto"/>
        <w:ind w:firstLine="1440"/>
        <w:jc w:val="both"/>
      </w:pPr>
      <w:r>
        <w:t xml:space="preserve">(11)</w:t>
      </w:r>
      <w:r xml:space="preserve">
        <w:t> </w:t>
      </w:r>
      <w:r xml:space="preserve">
        <w:t> </w:t>
      </w:r>
      <w:r>
        <w:t xml:space="preserve">the owner's share of the sales value less deductions; and</w:t>
      </w:r>
    </w:p>
    <w:p w:rsidR="003F3435" w:rsidRDefault="0032493E">
      <w:pPr>
        <w:spacing w:line="480" w:lineRule="auto"/>
        <w:ind w:firstLine="1440"/>
        <w:jc w:val="both"/>
      </w:pPr>
      <w:r>
        <w:t xml:space="preserve">(12)</w:t>
      </w:r>
      <w:r xml:space="preserve">
        <w:t> </w:t>
      </w:r>
      <w:r xml:space="preserve">
        <w:t> </w:t>
      </w:r>
      <w:r>
        <w:t xml:space="preserve">an address and telephone number at which additional information regarding the payment may be obtained and questions may be answered.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payment made on or after the effective date of this Act. </w:t>
      </w:r>
      <w:r>
        <w:t xml:space="preserve"> </w:t>
      </w:r>
      <w:r>
        <w:t xml:space="preserve">A payment made before the effective date of this Act is governed by the law in effect on the date the payment is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